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拟获得2022年泽州县实施标准化战略资金项目名单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</w:p>
    <w:tbl>
      <w:tblPr>
        <w:tblStyle w:val="3"/>
        <w:tblW w:w="12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132"/>
        <w:gridCol w:w="1596"/>
        <w:gridCol w:w="3342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3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  <w:t>项目名称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  <w:t>项目级别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  <w:t>制修订单位</w:t>
            </w:r>
          </w:p>
        </w:tc>
        <w:tc>
          <w:tcPr>
            <w:tcW w:w="3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19" w:firstLineChars="160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CN"/>
              </w:rPr>
              <w:t>承资补金额（人民币）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果酒 第二部分：山楂酒（QB/T 5476-2021）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行业标准</w:t>
            </w:r>
          </w:p>
        </w:tc>
        <w:tc>
          <w:tcPr>
            <w:tcW w:w="3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山西彤康食品有限公司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10万元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WVlZDUwZTRjMTA2NjJjMTRhMWUxODkwNTAzMDIifQ=="/>
  </w:docVars>
  <w:rsids>
    <w:rsidRoot w:val="07680BC8"/>
    <w:rsid w:val="076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96</Characters>
  <Lines>0</Lines>
  <Paragraphs>0</Paragraphs>
  <TotalTime>0</TotalTime>
  <ScaleCrop>false</ScaleCrop>
  <LinksUpToDate>false</LinksUpToDate>
  <CharactersWithSpaces>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2022-12-14T03:18:00Z</dcterms:created>
  <dc:creator>^_^</dc:creator>
  <cp:lastModifiedBy>^_^</cp:lastModifiedBy>
  <dcterms:modified xsi:type="dcterms:W3CDTF">2022-12-14T03:19:10Z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C5AAC29921024129985AFD56DF0B4C91</vt:lpwstr>
  </property>
</Properties>
</file>