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lang w:val="en-US" w:eastAsia="zh-CN"/>
        </w:rPr>
      </w:pPr>
      <w:r>
        <w:rPr>
          <w:rFonts w:hint="eastAsia" w:ascii="黑体" w:hAnsi="黑体" w:eastAsia="黑体" w:cs="黑体"/>
          <w:sz w:val="32"/>
          <w:lang w:val="en-US" w:eastAsia="zh-CN"/>
        </w:rPr>
        <w:t>附件1</w:t>
      </w:r>
    </w:p>
    <w:p>
      <w:pPr>
        <w:jc w:val="center"/>
        <w:rPr>
          <w:rFonts w:hint="eastAsia" w:ascii="CESI仿宋-GB2312" w:hAnsi="CESI仿宋-GB2312" w:eastAsia="CESI仿宋-GB2312" w:cs="CESI仿宋-GB2312"/>
          <w:sz w:val="32"/>
          <w:lang w:val="en-US" w:eastAsia="zh-CN"/>
        </w:rPr>
      </w:pPr>
      <w:r>
        <w:rPr>
          <w:rFonts w:hint="eastAsia" w:ascii="方正小标宋简体" w:hAnsi="方正小标宋简体" w:eastAsia="方正小标宋简体" w:cs="方正小标宋简体"/>
          <w:sz w:val="44"/>
          <w:szCs w:val="44"/>
          <w:lang w:val="en-US" w:eastAsia="zh-CN"/>
        </w:rPr>
        <w:t>泽州县教育局2024年度内部双随机抽查工作计划</w:t>
      </w:r>
    </w:p>
    <w:tbl>
      <w:tblPr>
        <w:tblStyle w:val="3"/>
        <w:tblW w:w="131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7"/>
        <w:gridCol w:w="1550"/>
        <w:gridCol w:w="762"/>
        <w:gridCol w:w="2502"/>
        <w:gridCol w:w="1180"/>
        <w:gridCol w:w="1671"/>
        <w:gridCol w:w="1133"/>
        <w:gridCol w:w="1180"/>
        <w:gridCol w:w="1014"/>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抽查任务名称</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抽查类型</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抽查事项</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抽查对象范围</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抽查比例</w:t>
            </w:r>
            <w:r>
              <w:rPr>
                <w:rFonts w:ascii="Calibri" w:hAnsi="Calibri" w:eastAsia="宋体" w:cs="Calibri"/>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数量</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信用风险分类管理</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抽查检查起止时间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抽查检查主体</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抽查检查</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2024</w:t>
            </w:r>
            <w:r>
              <w:rPr>
                <w:rFonts w:hint="eastAsia" w:ascii="宋体" w:hAnsi="宋体" w:eastAsia="宋体" w:cs="宋体"/>
                <w:i w:val="0"/>
                <w:iCs w:val="0"/>
                <w:color w:val="000000"/>
                <w:kern w:val="0"/>
                <w:sz w:val="22"/>
                <w:szCs w:val="22"/>
                <w:u w:val="none"/>
                <w:lang w:val="en-US" w:eastAsia="zh-CN" w:bidi="ar"/>
              </w:rPr>
              <w:t>年对学校综治安全工作的监管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定向</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履行安全工作职责 ，落实安全管理责任，制定应急预案、安全防范措施和组织应急演练等情况。</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全县各级各类学校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；抽查</w:t>
            </w:r>
            <w:r>
              <w:rPr>
                <w:rFonts w:hint="default" w:ascii="Calibri" w:hAnsi="Calibri" w:eastAsia="宋体" w:cs="Calibri"/>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次</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月—</w:t>
            </w:r>
            <w:r>
              <w:rPr>
                <w:rFonts w:hint="default" w:ascii="Calibri" w:hAnsi="Calibri" w:eastAsia="宋体" w:cs="Calibri"/>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月</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【县抽县查】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2024</w:t>
            </w:r>
            <w:r>
              <w:rPr>
                <w:rFonts w:hint="eastAsia" w:ascii="宋体" w:hAnsi="宋体" w:eastAsia="宋体" w:cs="宋体"/>
                <w:i w:val="0"/>
                <w:iCs w:val="0"/>
                <w:color w:val="000000"/>
                <w:kern w:val="0"/>
                <w:sz w:val="22"/>
                <w:szCs w:val="22"/>
                <w:u w:val="none"/>
                <w:lang w:val="en-US" w:eastAsia="zh-CN" w:bidi="ar"/>
              </w:rPr>
              <w:t>年对中等职业学校办学水平和专业教学监督评估</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定向</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学校办学水平和专业教学等情况。</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全县中等职业学校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；抽查</w:t>
            </w:r>
            <w:r>
              <w:rPr>
                <w:rFonts w:hint="default" w:ascii="Calibri" w:hAnsi="Calibri" w:eastAsia="宋体" w:cs="Calibri"/>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次</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月—</w:t>
            </w:r>
            <w:r>
              <w:rPr>
                <w:rFonts w:hint="default" w:ascii="Calibri" w:hAnsi="Calibri" w:eastAsia="宋体" w:cs="Calibri"/>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月</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【县抽县查】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2024</w:t>
            </w:r>
            <w:r>
              <w:rPr>
                <w:rFonts w:hint="eastAsia" w:ascii="宋体" w:hAnsi="宋体" w:eastAsia="宋体" w:cs="宋体"/>
                <w:i w:val="0"/>
                <w:iCs w:val="0"/>
                <w:color w:val="000000"/>
                <w:kern w:val="0"/>
                <w:sz w:val="22"/>
                <w:szCs w:val="22"/>
                <w:u w:val="none"/>
                <w:lang w:val="en-US" w:eastAsia="zh-CN" w:bidi="ar"/>
              </w:rPr>
              <w:t>年对幼儿园保育教育工作监督检查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定向</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经费投入和管理，办园条件，教师队伍建设，保育教育管理。</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全县公办、民办幼儿园</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；抽查</w:t>
            </w:r>
            <w:r>
              <w:rPr>
                <w:rFonts w:hint="default" w:ascii="Calibri" w:hAnsi="Calibri" w:eastAsia="宋体" w:cs="Calibri"/>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次</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月—</w:t>
            </w:r>
            <w:r>
              <w:rPr>
                <w:rFonts w:hint="default" w:ascii="Calibri" w:hAnsi="Calibri" w:eastAsia="宋体" w:cs="Calibri"/>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月</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【县抽县查】</w:t>
            </w:r>
          </w:p>
        </w:tc>
      </w:tr>
    </w:tbl>
    <w:p>
      <w:pPr>
        <w:rPr>
          <w:rFonts w:hint="eastAsia" w:ascii="CESI仿宋-GB2312" w:hAnsi="CESI仿宋-GB2312" w:eastAsia="CESI仿宋-GB2312" w:cs="CESI仿宋-GB2312"/>
          <w:sz w:val="32"/>
          <w:lang w:val="en-US" w:eastAsia="zh-CN"/>
        </w:rPr>
        <w:sectPr>
          <w:footerReference r:id="rId3" w:type="default"/>
          <w:pgSz w:w="16838" w:h="11906" w:orient="landscape"/>
          <w:pgMar w:top="1587" w:right="2098" w:bottom="1474" w:left="1984" w:header="851" w:footer="992" w:gutter="0"/>
          <w:pgNumType w:fmt="decimal"/>
          <w:cols w:space="720" w:num="1"/>
          <w:docGrid w:type="lines" w:linePitch="312" w:charSpace="0"/>
        </w:sectPr>
      </w:pPr>
    </w:p>
    <w:p>
      <w:pPr>
        <w:rPr>
          <w:rFonts w:hint="eastAsia" w:ascii="黑体" w:hAnsi="黑体" w:eastAsia="黑体" w:cs="黑体"/>
          <w:sz w:val="32"/>
          <w:lang w:val="en-US" w:eastAsia="zh-CN"/>
        </w:rPr>
      </w:pPr>
      <w:r>
        <w:rPr>
          <w:rFonts w:hint="eastAsia" w:ascii="黑体" w:hAnsi="黑体" w:eastAsia="黑体" w:cs="黑体"/>
          <w:sz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泽州县教育局“双随机 一公开”抽查事项清单（2024版）</w:t>
      </w:r>
    </w:p>
    <w:tbl>
      <w:tblPr>
        <w:tblStyle w:val="3"/>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4"/>
        <w:gridCol w:w="1071"/>
        <w:gridCol w:w="2334"/>
        <w:gridCol w:w="855"/>
        <w:gridCol w:w="651"/>
        <w:gridCol w:w="720"/>
        <w:gridCol w:w="1074"/>
        <w:gridCol w:w="6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4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4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抽查项目</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检查对象</w:t>
            </w:r>
          </w:p>
        </w:tc>
        <w:tc>
          <w:tcPr>
            <w:tcW w:w="6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事项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方式</w:t>
            </w:r>
          </w:p>
        </w:tc>
        <w:tc>
          <w:tcPr>
            <w:tcW w:w="10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检查主体</w:t>
            </w:r>
          </w:p>
        </w:tc>
        <w:tc>
          <w:tcPr>
            <w:tcW w:w="63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抽查类别</w:t>
            </w:r>
          </w:p>
        </w:tc>
        <w:tc>
          <w:tcPr>
            <w:tcW w:w="2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抽查事项</w:t>
            </w: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3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综治安全工作督查检查</w:t>
            </w:r>
          </w:p>
        </w:tc>
        <w:tc>
          <w:tcPr>
            <w:tcW w:w="2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履行安全工作职责，落实安全管理责任，制定应急预案、安全防范措施和组织应急演练等情况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全县各级各类学校</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重点检查事项</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实地检查、书面检查</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县教育局</w:t>
            </w:r>
          </w:p>
        </w:tc>
        <w:tc>
          <w:tcPr>
            <w:tcW w:w="63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《中小学幼儿园安全管理办法》（2006年教育部令第23号）</w:t>
            </w:r>
            <w:r>
              <w:rPr>
                <w:rStyle w:val="5"/>
                <w:sz w:val="18"/>
                <w:szCs w:val="18"/>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第七条。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中等职业学校办学水平和专业教学监督评估</w:t>
            </w:r>
          </w:p>
        </w:tc>
        <w:tc>
          <w:tcPr>
            <w:tcW w:w="2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检查学校办学水平和专业教学等情况。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中等职业学校</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一般检查事项</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实地检查、书面检查</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县教育局</w:t>
            </w:r>
          </w:p>
        </w:tc>
        <w:tc>
          <w:tcPr>
            <w:tcW w:w="63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1.《中华人民共和国职业教育法》第十一条  国务院教育行政部门负责职业教育工作的统筹规划、综合协调、宏观管理。国务院教育行政部门、劳动行政部门和其他有关部门在国务院规定的职责范围内，分别负责有关的职业教育工作。县级以上地方各级人民政府应当加强对本行政区域内职业教育工作的领导、统筹协调和督导评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2.《山西省实施</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中华人民共和国职业教育法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办法》第五条  教育行政部门主管本行政区域内的职业教育工作，对职业教育进行统筹规划、宏观管理和业务指导；对贯彻执行教育方针和有关</w:t>
            </w:r>
            <w:r>
              <w:rPr>
                <w:rFonts w:hint="eastAsia" w:ascii="宋体" w:hAnsi="宋体" w:cs="宋体"/>
                <w:i w:val="0"/>
                <w:iCs w:val="0"/>
                <w:color w:val="000000"/>
                <w:kern w:val="0"/>
                <w:sz w:val="18"/>
                <w:szCs w:val="18"/>
                <w:u w:val="none"/>
                <w:lang w:val="en-US" w:eastAsia="zh-CN" w:bidi="ar"/>
              </w:rPr>
              <w:t>法律法规</w:t>
            </w:r>
            <w:r>
              <w:rPr>
                <w:rFonts w:hint="eastAsia" w:ascii="宋体" w:hAnsi="宋体" w:eastAsia="宋体" w:cs="宋体"/>
                <w:i w:val="0"/>
                <w:iCs w:val="0"/>
                <w:color w:val="000000"/>
                <w:kern w:val="0"/>
                <w:sz w:val="18"/>
                <w:szCs w:val="18"/>
                <w:u w:val="none"/>
                <w:lang w:val="en-US" w:eastAsia="zh-CN" w:bidi="ar"/>
              </w:rPr>
              <w:t>情况进行监督检查；对职业学校及其教育工作进行评估。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幼儿园办学行为督查检查</w:t>
            </w:r>
          </w:p>
        </w:tc>
        <w:tc>
          <w:tcPr>
            <w:tcW w:w="23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经费投入和管理，办园条件，幼儿园教师队伍建设，保育教育管理，教育行政部门管理学前教育等情况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全县公办、民办幼儿园</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一般检查事项</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实地检查、书面检查</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县教育局</w:t>
            </w:r>
          </w:p>
        </w:tc>
        <w:tc>
          <w:tcPr>
            <w:tcW w:w="63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《幼儿园管理条例》（中华人民共和国国家教育委员会令第4号）第六条、第二十二条。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学校食品卫生工作督查检查</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软硬件设施，食品采购、贮存、加工，管理措施，从业人员等情况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全县寄宿制学校</w:t>
            </w:r>
          </w:p>
        </w:tc>
        <w:tc>
          <w:tcPr>
            <w:tcW w:w="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重点检查事项</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实地检查、书面检查</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县教育局县市场监督管理局       县卫健局</w:t>
            </w:r>
          </w:p>
        </w:tc>
        <w:tc>
          <w:tcPr>
            <w:tcW w:w="63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《学校食堂与学生集体用餐卫生管理规定》（2002年教育部、卫生部令第14号） 第三条。</w:t>
            </w:r>
          </w:p>
        </w:tc>
      </w:tr>
    </w:tbl>
    <w:p>
      <w:pPr>
        <w:keepNext w:val="0"/>
        <w:keepLines w:val="0"/>
        <w:pageBreakBefore w:val="0"/>
        <w:kinsoku/>
        <w:wordWrap/>
        <w:overflowPunct/>
        <w:topLinePunct w:val="0"/>
        <w:autoSpaceDE/>
        <w:autoSpaceDN/>
        <w:bidi w:val="0"/>
        <w:adjustRightInd/>
        <w:snapToGrid/>
        <w:spacing w:line="240" w:lineRule="exact"/>
        <w:rPr>
          <w:rFonts w:hint="eastAsia" w:ascii="CESI仿宋-GB2312" w:hAnsi="CESI仿宋-GB2312" w:eastAsia="CESI仿宋-GB2312" w:cs="CESI仿宋-GB2312"/>
          <w:sz w:val="32"/>
          <w:lang w:val="en-US" w:eastAsia="zh-CN"/>
        </w:rPr>
        <w:sectPr>
          <w:pgSz w:w="16838" w:h="11906" w:orient="landscape"/>
          <w:pgMar w:top="1587" w:right="2098" w:bottom="1474" w:left="1984" w:header="851" w:footer="992" w:gutter="0"/>
          <w:pgNumType w:fmt="decimal"/>
          <w:cols w:space="720" w:num="1"/>
          <w:docGrid w:type="lines" w:linePitch="312" w:charSpace="0"/>
        </w:sectPr>
      </w:pPr>
    </w:p>
    <w:tbl>
      <w:tblPr>
        <w:tblStyle w:val="3"/>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810"/>
        <w:gridCol w:w="2250"/>
        <w:gridCol w:w="765"/>
        <w:gridCol w:w="825"/>
        <w:gridCol w:w="720"/>
        <w:gridCol w:w="1155"/>
        <w:gridCol w:w="6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民办学校教育教学的监督检查</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民办学校办学条件，民办学校教师队伍建设，教育教学管理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全县民办学校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重点检查事项</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实地检查、书面检查</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县教育局       县市场监督管理局</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1、《中华人民共和国民办教育促进法》（2003年9月1日起施行）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第八条  县级以上地方各级人民政府教育行政部门主管本行政区域内的民办教育工作。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第三十九条  教育行政部门及有关部门应当对民办学校的教育教学工作、教师培训工作进行指导。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第四十条  教育行政部门及有关部门依法对民办学校实行督导，促进提高办学质量；组织或者委托社会中介组织评估办学水平和教育质量，并将评估结果向社会公布。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2、《中华人民共和国民办教育促进法实施条例》（2004年4月1日起施行）第三十二条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3、《山西省民办教育促进法实施办法》（2006年5月26日山西省第十届人民代表大会常务委员会第二十四次会议通过）第五条　县级以上人民政府教育行政部门是本行政区域民办教育工作的主管部门，应当依法加强对民办学校的服务、监督和管理。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中小学校办学情况</w:t>
            </w:r>
            <w:r>
              <w:rPr>
                <w:rFonts w:hint="eastAsia" w:ascii="宋体" w:hAnsi="宋体" w:cs="宋体"/>
                <w:i w:val="0"/>
                <w:iCs w:val="0"/>
                <w:color w:val="000000"/>
                <w:kern w:val="0"/>
                <w:sz w:val="20"/>
                <w:szCs w:val="20"/>
                <w:u w:val="none"/>
                <w:lang w:val="en-US" w:eastAsia="zh-CN" w:bidi="ar"/>
              </w:rPr>
              <w:t>监督检查</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教育经费投入情况以及使用管理情况，学校收费标准执行情况 </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全县各级各类学校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重点检查事项</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实地检查、书面检查</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县教育局       县市场监督管理局</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《中华人民共和国教育法》 第六十三条各级人民政府及其教育行政部门应当加强对学校及其他教育机构教育经费的监督管理，提高教育投资效益。 第七十八条学校及其他教育机构违反国家有关规定向受教育者收取费用的，由教育行政部门责令退还所收费用；对直接负责的主管人员和其他直接责任人，依法给予行政处分。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校外培训机构的</w:t>
            </w:r>
            <w:r>
              <w:rPr>
                <w:rFonts w:hint="eastAsia" w:ascii="宋体" w:hAnsi="宋体" w:cs="宋体"/>
                <w:i w:val="0"/>
                <w:iCs w:val="0"/>
                <w:color w:val="000000"/>
                <w:kern w:val="0"/>
                <w:sz w:val="20"/>
                <w:szCs w:val="20"/>
                <w:u w:val="none"/>
                <w:lang w:val="en-US" w:eastAsia="zh-CN" w:bidi="ar"/>
              </w:rPr>
              <w:t>监督</w:t>
            </w:r>
            <w:r>
              <w:rPr>
                <w:rFonts w:hint="eastAsia" w:ascii="宋体" w:hAnsi="宋体" w:eastAsia="宋体" w:cs="宋体"/>
                <w:i w:val="0"/>
                <w:iCs w:val="0"/>
                <w:color w:val="000000"/>
                <w:kern w:val="0"/>
                <w:sz w:val="20"/>
                <w:szCs w:val="20"/>
                <w:u w:val="none"/>
                <w:lang w:val="en-US" w:eastAsia="zh-CN" w:bidi="ar"/>
              </w:rPr>
              <w:t>检查</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检查校外培训机构的办学资质、办学条件、教师队伍建设、收费标准执行、教育教学管理等情况</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校外培训机构</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重点检查事项</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实地检查、书面检查</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县教育局       县市场监督管理局</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《校外培训行政处罚暂行办法》（2023年8月23日中华人民共和国教育部令第53号公布　自2023年10月15日起施行）第六条 校外培训行政处罚由县级以上人民政府校外培训主管部门依法按照行政处罚权限实施。校外培训主管部门由省级人民政府根据国家有关规定确定。校外培训行政处罚由综合行政执法部门实施的，校外培训主管部门应当与综合行政执法部门建立行政执法信息互联互通、执法过程协作配合、执法结果及时反馈的工作机制。</w:t>
            </w:r>
          </w:p>
        </w:tc>
      </w:tr>
    </w:tbl>
    <w:p>
      <w:pPr>
        <w:keepNext w:val="0"/>
        <w:keepLines w:val="0"/>
        <w:pageBreakBefore w:val="0"/>
        <w:kinsoku/>
        <w:wordWrap/>
        <w:overflowPunct/>
        <w:topLinePunct w:val="0"/>
        <w:autoSpaceDE/>
        <w:autoSpaceDN/>
        <w:bidi w:val="0"/>
        <w:adjustRightInd/>
        <w:snapToGrid/>
        <w:spacing w:line="240" w:lineRule="exact"/>
        <w:rPr>
          <w:rFonts w:hint="eastAsia" w:ascii="CESI仿宋-GB2312" w:hAnsi="CESI仿宋-GB2312" w:eastAsia="CESI仿宋-GB2312" w:cs="CESI仿宋-GB2312"/>
          <w:sz w:val="32"/>
          <w:lang w:val="en-US" w:eastAsia="zh-CN"/>
        </w:rPr>
        <w:sectPr>
          <w:pgSz w:w="16838" w:h="11906" w:orient="landscape"/>
          <w:pgMar w:top="1587" w:right="2098" w:bottom="1474" w:left="1984" w:header="851" w:footer="992"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MTM5NWYwMDJhODA0ZTU5NmQyY2JhNGEyYWI4MGYifQ=="/>
  </w:docVars>
  <w:rsids>
    <w:rsidRoot w:val="00000000"/>
    <w:rsid w:val="0E163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51"/>
    <w:basedOn w:val="4"/>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云</cp:lastModifiedBy>
  <dcterms:modified xsi:type="dcterms:W3CDTF">2024-04-30T01:46:38Z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8A18D0FDCF6D4DF69B13662B0B48DC53_12</vt:lpwstr>
  </property>
</Properties>
</file>