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5C77C">
      <w:pPr>
        <w:spacing w:line="500" w:lineRule="exact"/>
        <w:jc w:val="both"/>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附件1:</w:t>
      </w:r>
    </w:p>
    <w:p w14:paraId="724704AA">
      <w:pPr>
        <w:pStyle w:val="9"/>
        <w:keepNext w:val="0"/>
        <w:keepLines w:val="0"/>
        <w:pageBreakBefore w:val="0"/>
        <w:widowControl w:val="0"/>
        <w:kinsoku/>
        <w:wordWrap/>
        <w:overflowPunct/>
        <w:topLinePunct w:val="0"/>
        <w:autoSpaceDE/>
        <w:autoSpaceDN/>
        <w:bidi w:val="0"/>
        <w:adjustRightInd w:val="0"/>
        <w:snapToGrid w:val="0"/>
        <w:spacing w:before="0" w:after="0" w:line="590" w:lineRule="exact"/>
        <w:ind w:left="0" w:leftChars="0" w:firstLine="0" w:firstLineChars="0"/>
        <w:jc w:val="center"/>
        <w:textAlignment w:val="auto"/>
        <w:rPr>
          <w:rFonts w:hint="eastAsia" w:ascii="方正小标宋简体" w:hAnsi="方正小标宋简体" w:eastAsia="方正小标宋简体" w:cs="方正小标宋简体"/>
          <w:spacing w:val="0"/>
          <w:kern w:val="2"/>
          <w:sz w:val="44"/>
          <w:szCs w:val="44"/>
          <w:lang w:val="en-US" w:eastAsia="zh-CN" w:bidi="ar-SA"/>
        </w:rPr>
      </w:pPr>
    </w:p>
    <w:p w14:paraId="27427B7F">
      <w:pPr>
        <w:pStyle w:val="9"/>
        <w:keepNext w:val="0"/>
        <w:keepLines w:val="0"/>
        <w:pageBreakBefore w:val="0"/>
        <w:widowControl w:val="0"/>
        <w:kinsoku/>
        <w:wordWrap/>
        <w:overflowPunct/>
        <w:topLinePunct w:val="0"/>
        <w:autoSpaceDE/>
        <w:autoSpaceDN/>
        <w:bidi w:val="0"/>
        <w:adjustRightInd w:val="0"/>
        <w:snapToGrid w:val="0"/>
        <w:spacing w:before="0" w:after="0" w:line="590" w:lineRule="exact"/>
        <w:ind w:left="0" w:leftChars="0" w:firstLine="0" w:firstLineChars="0"/>
        <w:jc w:val="center"/>
        <w:textAlignment w:val="auto"/>
        <w:rPr>
          <w:rFonts w:hint="eastAsia" w:ascii="方正小标宋简体" w:hAnsi="方正小标宋简体" w:eastAsia="方正小标宋简体" w:cs="方正小标宋简体"/>
          <w:spacing w:val="0"/>
          <w:kern w:val="21"/>
          <w:sz w:val="44"/>
          <w:szCs w:val="44"/>
          <w:lang w:val="en-US" w:eastAsia="zh-CN" w:bidi="ar-SA"/>
        </w:rPr>
      </w:pPr>
      <w:r>
        <w:rPr>
          <w:rFonts w:hint="eastAsia" w:ascii="方正小标宋简体" w:hAnsi="方正小标宋简体" w:eastAsia="方正小标宋简体" w:cs="方正小标宋简体"/>
          <w:spacing w:val="0"/>
          <w:kern w:val="2"/>
          <w:sz w:val="44"/>
          <w:szCs w:val="44"/>
          <w:lang w:val="en-US" w:eastAsia="zh-CN" w:bidi="ar-SA"/>
        </w:rPr>
        <w:t>山西省2025年水产绿色健康养殖</w:t>
      </w:r>
      <w:r>
        <w:rPr>
          <w:rFonts w:hint="eastAsia" w:ascii="方正小标宋简体" w:hAnsi="方正小标宋简体" w:eastAsia="方正小标宋简体" w:cs="方正小标宋简体"/>
          <w:spacing w:val="0"/>
          <w:kern w:val="21"/>
          <w:sz w:val="44"/>
          <w:szCs w:val="44"/>
          <w:lang w:val="en-US" w:eastAsia="zh-CN" w:bidi="ar-SA"/>
        </w:rPr>
        <w:t>技术推广</w:t>
      </w:r>
    </w:p>
    <w:p w14:paraId="2CDD1AA2">
      <w:pPr>
        <w:pStyle w:val="9"/>
        <w:keepNext w:val="0"/>
        <w:keepLines w:val="0"/>
        <w:pageBreakBefore w:val="0"/>
        <w:widowControl w:val="0"/>
        <w:kinsoku/>
        <w:wordWrap/>
        <w:overflowPunct/>
        <w:topLinePunct w:val="0"/>
        <w:autoSpaceDE/>
        <w:autoSpaceDN/>
        <w:bidi w:val="0"/>
        <w:adjustRightInd w:val="0"/>
        <w:snapToGrid w:val="0"/>
        <w:spacing w:before="0" w:after="0" w:line="590" w:lineRule="exact"/>
        <w:ind w:left="0" w:leftChars="0" w:firstLine="0" w:firstLineChars="0"/>
        <w:jc w:val="center"/>
        <w:textAlignment w:val="auto"/>
        <w:rPr>
          <w:rFonts w:hint="eastAsia" w:ascii="方正小标宋简体" w:hAnsi="方正小标宋简体" w:eastAsia="方正小标宋简体" w:cs="方正小标宋简体"/>
          <w:spacing w:val="0"/>
          <w:kern w:val="2"/>
          <w:sz w:val="44"/>
          <w:szCs w:val="44"/>
          <w:lang w:val="en-US" w:eastAsia="zh-CN" w:bidi="ar-SA"/>
        </w:rPr>
      </w:pPr>
      <w:r>
        <w:rPr>
          <w:rFonts w:hint="eastAsia" w:ascii="方正小标宋简体" w:hAnsi="方正小标宋简体" w:eastAsia="方正小标宋简体" w:cs="方正小标宋简体"/>
          <w:spacing w:val="0"/>
          <w:kern w:val="21"/>
          <w:sz w:val="44"/>
          <w:szCs w:val="44"/>
          <w:lang w:val="en-US" w:eastAsia="zh-CN" w:bidi="ar-SA"/>
        </w:rPr>
        <w:t>“五大行动”实施方案</w:t>
      </w:r>
    </w:p>
    <w:p w14:paraId="07489BBD">
      <w:pPr>
        <w:keepNext w:val="0"/>
        <w:keepLines w:val="0"/>
        <w:pageBreakBefore w:val="0"/>
        <w:widowControl w:val="0"/>
        <w:kinsoku/>
        <w:wordWrap/>
        <w:overflowPunct/>
        <w:topLinePunct w:val="0"/>
        <w:autoSpaceDE/>
        <w:autoSpaceDN/>
        <w:bidi w:val="0"/>
        <w:adjustRightInd/>
        <w:snapToGrid/>
        <w:spacing w:line="590" w:lineRule="exact"/>
        <w:ind w:left="0" w:leftChars="0"/>
        <w:jc w:val="both"/>
        <w:textAlignment w:val="auto"/>
        <w:rPr>
          <w:rFonts w:hint="eastAsia" w:ascii="方正仿宋_GBK" w:hAnsi="方正仿宋_GBK" w:eastAsia="方正仿宋_GBK" w:cs="方正仿宋_GBK"/>
          <w:sz w:val="32"/>
          <w:szCs w:val="32"/>
        </w:rPr>
      </w:pPr>
    </w:p>
    <w:p w14:paraId="5C1D1E5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水产绿色健康养殖技术推广“五大行动”是</w:t>
      </w:r>
      <w:r>
        <w:rPr>
          <w:rFonts w:hint="eastAsia" w:ascii="仿宋_GB2312" w:hAnsi="仿宋_GB2312" w:eastAsia="仿宋_GB2312" w:cs="仿宋_GB2312"/>
          <w:b w:val="0"/>
          <w:bCs w:val="0"/>
          <w:sz w:val="32"/>
          <w:szCs w:val="32"/>
          <w:lang w:eastAsia="zh-CN"/>
        </w:rPr>
        <w:t>推动水产养殖业绿色转型和健康发展的重要举措。为做好我省</w:t>
      </w:r>
      <w:r>
        <w:rPr>
          <w:rFonts w:hint="eastAsia" w:ascii="仿宋_GB2312" w:hAnsi="仿宋_GB2312" w:eastAsia="仿宋_GB2312" w:cs="仿宋_GB2312"/>
          <w:b w:val="0"/>
          <w:bCs w:val="0"/>
          <w:sz w:val="32"/>
          <w:szCs w:val="32"/>
          <w:lang w:val="en-US" w:eastAsia="zh-CN"/>
        </w:rPr>
        <w:t>“五大行动”实施工作，</w:t>
      </w:r>
      <w:r>
        <w:rPr>
          <w:rFonts w:hint="eastAsia" w:ascii="仿宋_GB2312" w:hAnsi="仿宋_GB2312" w:eastAsia="仿宋_GB2312" w:cs="仿宋_GB2312"/>
          <w:b w:val="0"/>
          <w:bCs w:val="0"/>
          <w:sz w:val="32"/>
          <w:szCs w:val="32"/>
          <w:lang w:eastAsia="zh-CN"/>
        </w:rPr>
        <w:t>按照《农业农村部渔业渔政管理局关于做好</w:t>
      </w:r>
      <w:r>
        <w:rPr>
          <w:rFonts w:hint="eastAsia" w:ascii="仿宋_GB2312" w:hAnsi="仿宋_GB2312" w:eastAsia="仿宋_GB2312" w:cs="仿宋_GB2312"/>
          <w:b w:val="0"/>
          <w:bCs w:val="0"/>
          <w:sz w:val="32"/>
          <w:szCs w:val="32"/>
          <w:lang w:val="en-US" w:eastAsia="zh-CN"/>
        </w:rPr>
        <w:t>2025年水产绿色健康养殖技术推广“五大行动”工作的通知</w:t>
      </w:r>
      <w:r>
        <w:rPr>
          <w:rFonts w:hint="eastAsia" w:ascii="仿宋_GB2312" w:hAnsi="仿宋_GB2312" w:eastAsia="仿宋_GB2312" w:cs="仿宋_GB2312"/>
          <w:b w:val="0"/>
          <w:bCs w:val="0"/>
          <w:sz w:val="32"/>
          <w:szCs w:val="32"/>
          <w:lang w:eastAsia="zh-CN"/>
        </w:rPr>
        <w:t>》（农渔养函〔</w:t>
      </w:r>
      <w:r>
        <w:rPr>
          <w:rFonts w:hint="eastAsia" w:ascii="仿宋_GB2312" w:hAnsi="仿宋_GB2312" w:eastAsia="仿宋_GB2312" w:cs="仿宋_GB2312"/>
          <w:b w:val="0"/>
          <w:bCs w:val="0"/>
          <w:sz w:val="32"/>
          <w:szCs w:val="32"/>
          <w:lang w:val="en-US" w:eastAsia="zh-CN"/>
        </w:rPr>
        <w:t>2025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71号</w:t>
      </w:r>
      <w:r>
        <w:rPr>
          <w:rFonts w:hint="eastAsia" w:ascii="仿宋_GB2312" w:hAnsi="仿宋_GB2312" w:eastAsia="仿宋_GB2312" w:cs="仿宋_GB2312"/>
          <w:b w:val="0"/>
          <w:bCs w:val="0"/>
          <w:sz w:val="32"/>
          <w:szCs w:val="32"/>
          <w:lang w:eastAsia="zh-CN"/>
        </w:rPr>
        <w:t>）和《全国水产技术推广总站关于做好</w:t>
      </w:r>
      <w:r>
        <w:rPr>
          <w:rFonts w:hint="eastAsia" w:ascii="仿宋_GB2312" w:hAnsi="仿宋_GB2312" w:eastAsia="仿宋_GB2312" w:cs="仿宋_GB2312"/>
          <w:b w:val="0"/>
          <w:bCs w:val="0"/>
          <w:sz w:val="32"/>
          <w:szCs w:val="32"/>
          <w:lang w:val="en-US" w:eastAsia="zh-CN"/>
        </w:rPr>
        <w:t>2025年水产绿色健康养殖技术推广“五大行动”实施工作的通知</w:t>
      </w:r>
      <w:r>
        <w:rPr>
          <w:rFonts w:hint="eastAsia" w:ascii="仿宋_GB2312" w:hAnsi="仿宋_GB2312" w:eastAsia="仿宋_GB2312" w:cs="仿宋_GB2312"/>
          <w:b w:val="0"/>
          <w:bCs w:val="0"/>
          <w:sz w:val="32"/>
          <w:szCs w:val="32"/>
          <w:lang w:eastAsia="zh-CN"/>
        </w:rPr>
        <w:t>》（农渔技函〔</w:t>
      </w:r>
      <w:r>
        <w:rPr>
          <w:rFonts w:hint="eastAsia" w:ascii="仿宋_GB2312" w:hAnsi="仿宋_GB2312" w:eastAsia="仿宋_GB2312" w:cs="仿宋_GB2312"/>
          <w:b w:val="0"/>
          <w:bCs w:val="0"/>
          <w:sz w:val="32"/>
          <w:szCs w:val="32"/>
          <w:lang w:val="en-US" w:eastAsia="zh-CN"/>
        </w:rPr>
        <w:t>2025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33号</w:t>
      </w:r>
      <w:r>
        <w:rPr>
          <w:rFonts w:hint="eastAsia" w:ascii="仿宋_GB2312" w:hAnsi="仿宋_GB2312" w:eastAsia="仿宋_GB2312" w:cs="仿宋_GB2312"/>
          <w:b w:val="0"/>
          <w:bCs w:val="0"/>
          <w:sz w:val="32"/>
          <w:szCs w:val="32"/>
          <w:lang w:eastAsia="zh-CN"/>
        </w:rPr>
        <w:t>）要求，结合我省实际制定本实施方案。</w:t>
      </w:r>
    </w:p>
    <w:p w14:paraId="4999AE9A">
      <w:pPr>
        <w:pStyle w:val="2"/>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一、工作要点</w:t>
      </w:r>
    </w:p>
    <w:p w14:paraId="58EA774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16" w:firstLineChars="200"/>
        <w:jc w:val="both"/>
        <w:textAlignment w:val="auto"/>
        <w:rPr>
          <w:rFonts w:hint="eastAsia" w:ascii="楷体_GB2312" w:hAnsi="楷体_GB2312" w:eastAsia="楷体_GB2312" w:cs="楷体_GB2312"/>
          <w:b w:val="0"/>
          <w:bCs w:val="0"/>
          <w:color w:val="000000"/>
          <w:spacing w:val="-6"/>
          <w:kern w:val="0"/>
          <w:sz w:val="32"/>
          <w:szCs w:val="32"/>
          <w:lang w:val="en-US" w:eastAsia="zh-CN" w:bidi="ar"/>
        </w:rPr>
      </w:pPr>
      <w:r>
        <w:rPr>
          <w:rFonts w:hint="eastAsia" w:ascii="楷体_GB2312" w:hAnsi="楷体_GB2312" w:eastAsia="楷体_GB2312" w:cs="楷体_GB2312"/>
          <w:b w:val="0"/>
          <w:bCs w:val="0"/>
          <w:color w:val="000000"/>
          <w:spacing w:val="-6"/>
          <w:kern w:val="0"/>
          <w:sz w:val="32"/>
          <w:szCs w:val="32"/>
          <w:lang w:val="en-US" w:eastAsia="zh-CN" w:bidi="ar"/>
        </w:rPr>
        <w:t>（一）全要素落实“五大行动”工作内容</w:t>
      </w:r>
    </w:p>
    <w:p w14:paraId="1EACCD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“五大行动”的五项技术内容均为水产绿色健康养殖的必要条件，不可割裂不可或缺。市县要根据本地渔业资源情况，在因地制宜确定主推技术、主推模式的基础上，全要素落实“五大行动”实施工作。</w:t>
      </w:r>
    </w:p>
    <w:p w14:paraId="1EA7993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⒈生态健康养殖模式推广行动</w:t>
      </w:r>
    </w:p>
    <w:p w14:paraId="3F8538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继续优化水产工厂化设施养殖模式（包括陆基圆池（桶）循环水养殖、“流水槽+”养殖、生态环保网箱养殖及其他新型陆基设施化养殖）。推广莲渔综合种养、渔菜综合种养等模式，推动种植和养殖资源共用，有效拓展渔业发展空间。</w:t>
      </w:r>
    </w:p>
    <w:p w14:paraId="569D91C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⒉养殖尾水治理模式推广行动</w:t>
      </w:r>
    </w:p>
    <w:p w14:paraId="76E014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持续推进养殖尾水治理技术推广应用，不断提升尾水治理水平，提高达标排放率。抓好大棚渔菜综合种养、莲渔综合种养等尾水一体化利用或循环利用等养殖模式的样板模式的示范推广。推动全省养殖池塘和工厂化养殖设施改造提升，配强水质监控系统，确保养殖水质符合标准。</w:t>
      </w:r>
    </w:p>
    <w:p w14:paraId="638D5BD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⒊水产养殖用药减量行动</w:t>
      </w:r>
    </w:p>
    <w:p w14:paraId="7036D10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水产养殖用药明白纸》等形式，做好水产养殖规范用药科普下乡活动，加大疫苗免疫、中药替代、生态防控等技术措施的应用推广。落实水产苗种产地检疫制度，做好源头防控。持续加强产地水产品药残监控，按照《2025年水产养殖过程违规用药治理行动方案》要求，抓好我省养殖水产品质量安全工作。</w:t>
      </w:r>
    </w:p>
    <w:p w14:paraId="4C16A35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⒋提升优质颗粒饲料的应用水平</w:t>
      </w:r>
    </w:p>
    <w:p w14:paraId="44A4154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持续推动优质配合颗粒饲料的应用，指导养殖单位提高投饵的科学性和精准性，使优质饲料充分发挥应有效能。</w:t>
      </w:r>
    </w:p>
    <w:p w14:paraId="790518B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⒌加大水产优良品种示范推广</w:t>
      </w:r>
    </w:p>
    <w:p w14:paraId="7D82E78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以我省主养的大宗淡水鱼及大口黑鲈、罗非鱼等主要品种为重点，大力进行新品种的引进、繁育、示范和推广，在保持水产良种覆盖率的基础上加快品种更新。</w:t>
      </w:r>
    </w:p>
    <w:p w14:paraId="2D642DEA">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both"/>
        <w:textAlignment w:val="auto"/>
        <w:rPr>
          <w:rFonts w:hint="eastAsia" w:ascii="楷体_GB2312" w:hAnsi="楷体_GB2312" w:eastAsia="楷体_GB2312" w:cs="楷体_GB2312"/>
          <w:b w:val="0"/>
          <w:bCs w:val="0"/>
          <w:color w:val="000000"/>
          <w:spacing w:val="-6"/>
          <w:kern w:val="0"/>
          <w:sz w:val="32"/>
          <w:szCs w:val="32"/>
          <w:lang w:val="en-US" w:eastAsia="zh-CN" w:bidi="ar"/>
        </w:rPr>
      </w:pPr>
      <w:r>
        <w:rPr>
          <w:rFonts w:hint="eastAsia" w:ascii="楷体_GB2312" w:hAnsi="楷体_GB2312" w:eastAsia="楷体_GB2312" w:cs="楷体_GB2312"/>
          <w:b w:val="0"/>
          <w:bCs w:val="0"/>
          <w:color w:val="000000"/>
          <w:spacing w:val="-6"/>
          <w:kern w:val="0"/>
          <w:sz w:val="32"/>
          <w:szCs w:val="32"/>
          <w:lang w:val="en-US" w:eastAsia="zh-CN" w:bidi="ar"/>
        </w:rPr>
        <w:t>（二）抓好骨干场户的遴选、管理和组织，使其有效发挥作用</w:t>
      </w:r>
    </w:p>
    <w:p w14:paraId="3D2AEB5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严格按照“五大行动”技术要求，遴选和扶持一批技术要素齐全、主推技术成熟、示范引领作用较强的养殖单位作为骨干场户，有效开展技术示范，提升技术推广工作效果。对比往年的骨干场户，今年要通过压数量、提质量、强管理、促效果，促进骨干场户的支撑服务、示范引领等作用得到更好发挥，提升“五大行动”实施效果。</w:t>
      </w:r>
    </w:p>
    <w:p w14:paraId="5B244010">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二、进度安排</w:t>
      </w:r>
    </w:p>
    <w:p w14:paraId="7DA5FDB5">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(一)部署阶段(5月-6月上旬)</w:t>
      </w:r>
    </w:p>
    <w:p w14:paraId="6C3BA3F4">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农业农村厅印发《山西省2025年水产绿色健康养殖技术推广“五大行动”实施方案》，明确工作目标和要点等。各市级渔业主管部门结合实际牵头制定本辖区“五大行动”实施方案，于6月9日前将本市实施方案报送至省水产中心。</w:t>
      </w:r>
    </w:p>
    <w:p w14:paraId="36389F65">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(二)实施阶段(6月中旬-10月中旬)</w:t>
      </w:r>
    </w:p>
    <w:p w14:paraId="5134F2EA">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水产技术推广部门于6月30日前完成骨干场户的遴选，将骨干场户申报材料(见附表)报省水产中心，由省水产中心组织市县，对申报单位进行集中统一的初选后进行网上申报。市县水产技术推广部门做好骨干场户的组织、管理、技术培训、检查指导、示范交流、阶段总结等，使其真正发挥技术示范引领和区域性技术支撑和服务作用。</w:t>
      </w:r>
    </w:p>
    <w:p w14:paraId="4CC7B4CC">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(三)总结阶段(10下旬)</w:t>
      </w:r>
    </w:p>
    <w:p w14:paraId="415E4F8A">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对“十四五”期间“五大行动”工作实施情况进行全面总结，并于10月24日前通过“五大行动”信息管理系统(http://xd.szjoann.net)将总结报送省水产中心。省水产中心于10月31日前完成骨干场户的考评并择优推荐上报，同时对“五大行动”工作进行全面总结后按规定报送全国水产技术推广总站和厅农垦与渔业渔政管理局。</w:t>
      </w:r>
    </w:p>
    <w:p w14:paraId="15883DBA">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三、有关要求</w:t>
      </w:r>
    </w:p>
    <w:p w14:paraId="13496C5C">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渔业主管部门要把握工作方向，加强领导，精心组织，认真指导，将“五大行动”列入惠渔政策支持范围，加大资金投入，做好对骨干场户的监督和扶持。各级水产技术推广部门要充分发挥技术和体系优势，加强与相关科研机构、大专院校和养殖主体的联合协作，抓好工作落实。要认真总结“五大行动”实施中的好做法、好典型、好经验，并及时通过全国水产技术推广总站官网、“中国水产”和“山西农业农村发布”微信公众号等媒介宣传。</w:t>
      </w:r>
    </w:p>
    <w:p w14:paraId="3D80C490">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四、联系方式</w:t>
      </w:r>
    </w:p>
    <w:p w14:paraId="762F91C0">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省农业农村厅农垦与渔业渔政管理局</w:t>
      </w:r>
    </w:p>
    <w:p w14:paraId="63B81FB1">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联系人:张一凡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联系电话:18234128223</w:t>
      </w:r>
      <w:r>
        <w:rPr>
          <w:rFonts w:hint="eastAsia" w:ascii="仿宋_GB2312" w:hAnsi="仿宋_GB2312" w:eastAsia="仿宋_GB2312" w:cs="仿宋_GB2312"/>
          <w:sz w:val="32"/>
          <w:szCs w:val="32"/>
        </w:rPr>
        <w:tab/>
      </w:r>
    </w:p>
    <w:p w14:paraId="13F7A42B">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省水产技术推广服务中心</w:t>
      </w:r>
    </w:p>
    <w:p w14:paraId="671232BC">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联系人:武斌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联系电话:18635157122</w:t>
      </w:r>
      <w:r>
        <w:rPr>
          <w:rFonts w:hint="eastAsia" w:ascii="仿宋_GB2312" w:hAnsi="仿宋_GB2312" w:eastAsia="仿宋_GB2312" w:cs="仿宋_GB2312"/>
          <w:sz w:val="32"/>
          <w:szCs w:val="32"/>
        </w:rPr>
        <w:tab/>
      </w:r>
    </w:p>
    <w:p w14:paraId="08E5D0FB">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邮箱:wubinf316@126.com</w:t>
      </w:r>
    </w:p>
    <w:p w14:paraId="413F7ACA">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46976C0">
      <w:pPr>
        <w:pageBreakBefore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附表:山西省2025年水产绿色健康养殖技术推广“五大行动”骨干场户申报材料</w:t>
      </w:r>
    </w:p>
    <w:p w14:paraId="51A68E4D">
      <w:pPr>
        <w:pageBreakBefore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p>
    <w:p w14:paraId="294C0D44">
      <w:pPr>
        <w:pageBreakBefore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p>
    <w:p w14:paraId="4FA72752">
      <w:pPr>
        <w:pageBreakBefore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p>
    <w:p w14:paraId="11177D48">
      <w:pPr>
        <w:pageBreakBefore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p>
    <w:p w14:paraId="0DDF6527">
      <w:pPr>
        <w:pageBreakBefore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p>
    <w:p w14:paraId="093FE525">
      <w:pPr>
        <w:pageBreakBefore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p>
    <w:p w14:paraId="26EA948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val="0"/>
          <w:bCs w:val="0"/>
          <w:spacing w:val="-11"/>
          <w:sz w:val="32"/>
          <w:szCs w:val="32"/>
          <w:lang w:val="en-US" w:eastAsia="zh-CN"/>
        </w:rPr>
        <w:t>附表</w:t>
      </w:r>
    </w:p>
    <w:p w14:paraId="2526A348">
      <w:pPr>
        <w:keepNext w:val="0"/>
        <w:keepLines w:val="0"/>
        <w:pageBreakBefore w:val="0"/>
        <w:widowControl w:val="0"/>
        <w:kinsoku/>
        <w:wordWrap/>
        <w:overflowPunct/>
        <w:topLinePunct w:val="0"/>
        <w:autoSpaceDE/>
        <w:autoSpaceDN/>
        <w:bidi w:val="0"/>
        <w:adjustRightInd/>
        <w:snapToGrid/>
        <w:spacing w:line="580" w:lineRule="exact"/>
        <w:ind w:left="0" w:firstLine="0" w:firstLineChars="0"/>
        <w:textAlignment w:val="auto"/>
        <w:rPr>
          <w:rFonts w:hint="eastAsia" w:ascii="CESI黑体-GB2312" w:hAnsi="CESI黑体-GB2312" w:eastAsia="CESI黑体-GB2312" w:cs="CESI黑体-GB2312"/>
          <w:bCs/>
          <w:color w:val="auto"/>
          <w:kern w:val="0"/>
          <w:sz w:val="32"/>
          <w:szCs w:val="32"/>
          <w:lang w:val="en-US" w:eastAsia="zh-CN" w:bidi="ar"/>
        </w:rPr>
      </w:pPr>
    </w:p>
    <w:p w14:paraId="77A74CE3">
      <w:pPr>
        <w:keepNext/>
        <w:keepLines/>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方正小标宋简体" w:eastAsia="方正小标宋简体" w:cs="方正小标宋简体"/>
          <w:w w:val="90"/>
          <w:sz w:val="56"/>
          <w:szCs w:val="56"/>
        </w:rPr>
      </w:pPr>
      <w:r>
        <w:rPr>
          <w:rFonts w:hint="eastAsia" w:ascii="方正小标宋简体" w:hAnsi="方正小标宋简体" w:eastAsia="方正小标宋简体" w:cs="方正小标宋简体"/>
          <w:w w:val="90"/>
          <w:sz w:val="56"/>
          <w:szCs w:val="56"/>
          <w:lang w:val="en-US" w:eastAsia="zh-CN"/>
        </w:rPr>
        <w:t>山西省2025年</w:t>
      </w:r>
      <w:r>
        <w:rPr>
          <w:rFonts w:hint="eastAsia" w:ascii="方正小标宋简体" w:hAnsi="方正小标宋简体" w:eastAsia="方正小标宋简体" w:cs="方正小标宋简体"/>
          <w:w w:val="90"/>
          <w:sz w:val="56"/>
          <w:szCs w:val="56"/>
        </w:rPr>
        <w:t>水产绿色健康养殖</w:t>
      </w:r>
    </w:p>
    <w:p w14:paraId="2E7E17CB">
      <w:pPr>
        <w:keepNext/>
        <w:keepLines/>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方正小标宋简体" w:eastAsia="方正小标宋简体" w:cs="方正小标宋简体"/>
          <w:w w:val="90"/>
          <w:sz w:val="56"/>
          <w:szCs w:val="56"/>
          <w:lang w:eastAsia="zh-CN"/>
        </w:rPr>
      </w:pPr>
      <w:r>
        <w:rPr>
          <w:rFonts w:hint="eastAsia" w:ascii="方正小标宋简体" w:hAnsi="方正小标宋简体" w:eastAsia="方正小标宋简体" w:cs="方正小标宋简体"/>
          <w:w w:val="90"/>
          <w:sz w:val="56"/>
          <w:szCs w:val="56"/>
        </w:rPr>
        <w:t>技术推广“五大行动”骨干</w:t>
      </w:r>
      <w:r>
        <w:rPr>
          <w:rFonts w:hint="eastAsia" w:ascii="方正小标宋简体" w:hAnsi="方正小标宋简体" w:eastAsia="方正小标宋简体" w:cs="方正小标宋简体"/>
          <w:w w:val="90"/>
          <w:sz w:val="56"/>
          <w:szCs w:val="56"/>
          <w:lang w:eastAsia="zh-CN"/>
        </w:rPr>
        <w:t>场户</w:t>
      </w:r>
    </w:p>
    <w:p w14:paraId="7EC0B793">
      <w:pPr>
        <w:pStyle w:val="2"/>
        <w:pageBreakBefore w:val="0"/>
        <w:widowControl w:val="0"/>
        <w:kinsoku/>
        <w:wordWrap/>
        <w:overflowPunct/>
        <w:topLinePunct w:val="0"/>
        <w:autoSpaceDE/>
        <w:autoSpaceDN/>
        <w:bidi w:val="0"/>
        <w:adjustRightInd w:val="0"/>
        <w:snapToGrid w:val="0"/>
        <w:spacing w:line="240" w:lineRule="auto"/>
        <w:textAlignment w:val="auto"/>
        <w:rPr>
          <w:rFonts w:hint="eastAsia"/>
          <w:lang w:eastAsia="zh-CN"/>
        </w:rPr>
      </w:pPr>
    </w:p>
    <w:p w14:paraId="3454B52E">
      <w:pPr>
        <w:keepNext w:val="0"/>
        <w:keepLines w:val="0"/>
        <w:pageBreakBefore w:val="0"/>
        <w:widowControl w:val="0"/>
        <w:kinsoku/>
        <w:wordWrap/>
        <w:overflowPunct/>
        <w:topLinePunct w:val="0"/>
        <w:autoSpaceDE/>
        <w:autoSpaceDN/>
        <w:bidi w:val="0"/>
        <w:adjustRightInd/>
        <w:snapToGrid/>
        <w:spacing w:before="781" w:beforeLines="250" w:line="240" w:lineRule="auto"/>
        <w:ind w:left="0" w:leftChars="0" w:firstLine="0" w:firstLineChars="0"/>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申</w:t>
      </w:r>
    </w:p>
    <w:p w14:paraId="1DDBAB3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报</w:t>
      </w:r>
    </w:p>
    <w:p w14:paraId="2A784A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材</w:t>
      </w:r>
    </w:p>
    <w:p w14:paraId="47F80AFF">
      <w:pPr>
        <w:keepNext w:val="0"/>
        <w:keepLines w:val="0"/>
        <w:pageBreakBefore w:val="0"/>
        <w:widowControl w:val="0"/>
        <w:kinsoku/>
        <w:wordWrap/>
        <w:overflowPunct/>
        <w:topLinePunct w:val="0"/>
        <w:autoSpaceDE/>
        <w:autoSpaceDN/>
        <w:bidi w:val="0"/>
        <w:adjustRightInd/>
        <w:snapToGrid/>
        <w:spacing w:after="781" w:afterLines="250" w:line="240" w:lineRule="auto"/>
        <w:ind w:left="0" w:leftChars="0" w:firstLine="0" w:firstLineChars="0"/>
        <w:jc w:val="center"/>
        <w:textAlignment w:val="auto"/>
        <w:rPr>
          <w:rFonts w:hint="default" w:ascii="方正小标宋简体" w:hAnsi="方正小标宋简体" w:eastAsia="方正小标宋简体" w:cs="方正小标宋简体"/>
          <w:sz w:val="72"/>
          <w:szCs w:val="72"/>
          <w:lang w:val="en-US"/>
        </w:rPr>
      </w:pPr>
      <w:r>
        <w:rPr>
          <w:rFonts w:hint="eastAsia" w:ascii="方正小标宋简体" w:hAnsi="方正小标宋简体" w:eastAsia="方正小标宋简体" w:cs="方正小标宋简体"/>
          <w:sz w:val="72"/>
          <w:szCs w:val="72"/>
          <w:lang w:val="en-US" w:eastAsia="zh-CN"/>
        </w:rPr>
        <w:t>料</w:t>
      </w:r>
    </w:p>
    <w:p w14:paraId="17F28BDF">
      <w:pPr>
        <w:rPr>
          <w:rFonts w:hint="eastAsia"/>
          <w:lang w:val="en-US" w:eastAsia="zh-CN"/>
        </w:rPr>
      </w:pPr>
    </w:p>
    <w:p w14:paraId="2080DCD8">
      <w:pPr>
        <w:pStyle w:val="2"/>
        <w:pageBreakBefore w:val="0"/>
        <w:widowControl w:val="0"/>
        <w:kinsoku/>
        <w:wordWrap/>
        <w:overflowPunct/>
        <w:topLinePunct w:val="0"/>
        <w:autoSpaceDE/>
        <w:autoSpaceDN/>
        <w:bidi w:val="0"/>
        <w:adjustRightInd/>
        <w:snapToGrid/>
        <w:spacing w:line="640" w:lineRule="exact"/>
        <w:ind w:firstLine="1600" w:firstLineChars="500"/>
        <w:textAlignment w:val="auto"/>
        <w:rPr>
          <w:rFonts w:hint="eastAsia" w:ascii="宋体" w:hAnsi="宋体" w:eastAsia="宋体" w:cs="宋体"/>
          <w:b w:val="0"/>
          <w:bCs w:val="0"/>
          <w:sz w:val="32"/>
          <w:szCs w:val="32"/>
          <w:u w:val="none"/>
          <w:lang w:val="en-US" w:eastAsia="zh-CN"/>
        </w:rPr>
      </w:pPr>
    </w:p>
    <w:p w14:paraId="53D1A965">
      <w:pPr>
        <w:pStyle w:val="2"/>
        <w:keepNext/>
        <w:keepLines/>
        <w:pageBreakBefore w:val="0"/>
        <w:widowControl w:val="0"/>
        <w:kinsoku/>
        <w:wordWrap/>
        <w:overflowPunct/>
        <w:topLinePunct w:val="0"/>
        <w:autoSpaceDE/>
        <w:autoSpaceDN/>
        <w:bidi w:val="0"/>
        <w:adjustRightInd/>
        <w:snapToGrid/>
        <w:spacing w:line="600" w:lineRule="exact"/>
        <w:ind w:firstLine="1368" w:firstLineChars="400"/>
        <w:jc w:val="both"/>
        <w:textAlignment w:val="auto"/>
        <w:rPr>
          <w:rFonts w:hint="default" w:ascii="宋体" w:hAnsi="宋体" w:eastAsia="宋体" w:cs="宋体"/>
          <w:b w:val="0"/>
          <w:bCs w:val="0"/>
          <w:sz w:val="32"/>
          <w:szCs w:val="32"/>
          <w:u w:val="single"/>
          <w:lang w:val="en-US" w:eastAsia="zh-CN"/>
        </w:rPr>
      </w:pPr>
      <w:r>
        <w:rPr>
          <w:rFonts w:hint="eastAsia" w:ascii="宋体" w:hAnsi="宋体" w:eastAsia="宋体" w:cs="宋体"/>
          <w:b w:val="0"/>
          <w:bCs w:val="0"/>
          <w:color w:val="auto"/>
          <w:spacing w:val="11"/>
          <w:kern w:val="2"/>
          <w:sz w:val="32"/>
          <w:szCs w:val="32"/>
          <w:u w:val="none"/>
          <w:lang w:val="en-US" w:eastAsia="zh-CN" w:bidi="ar-SA"/>
        </w:rPr>
        <w:t>申 报 地 区</w:t>
      </w:r>
      <w:r>
        <w:rPr>
          <w:rFonts w:hint="eastAsia" w:ascii="宋体" w:hAnsi="宋体" w:eastAsia="宋体" w:cs="宋体"/>
          <w:b w:val="0"/>
          <w:bCs w:val="0"/>
          <w:sz w:val="32"/>
          <w:szCs w:val="32"/>
          <w:u w:val="none"/>
          <w:lang w:val="en-US" w:eastAsia="zh-CN"/>
        </w:rPr>
        <w:t>：</w:t>
      </w:r>
      <w:r>
        <w:rPr>
          <w:rFonts w:hint="eastAsia" w:ascii="宋体" w:hAnsi="宋体" w:eastAsia="宋体" w:cs="宋体"/>
          <w:b w:val="0"/>
          <w:bCs w:val="0"/>
          <w:sz w:val="32"/>
          <w:szCs w:val="32"/>
          <w:u w:val="single"/>
          <w:lang w:val="en-US" w:eastAsia="zh-CN"/>
        </w:rPr>
        <w:t xml:space="preserve">       </w:t>
      </w:r>
      <w:r>
        <w:rPr>
          <w:rFonts w:hint="eastAsia" w:ascii="宋体" w:hAnsi="宋体" w:cs="宋体"/>
          <w:b w:val="0"/>
          <w:bCs w:val="0"/>
          <w:sz w:val="32"/>
          <w:szCs w:val="32"/>
          <w:u w:val="none"/>
          <w:lang w:val="en-US" w:eastAsia="zh-CN"/>
        </w:rPr>
        <w:t>市</w:t>
      </w:r>
      <w:r>
        <w:rPr>
          <w:rFonts w:hint="eastAsia" w:ascii="宋体" w:hAnsi="宋体" w:eastAsia="宋体" w:cs="宋体"/>
          <w:b w:val="0"/>
          <w:bCs w:val="0"/>
          <w:sz w:val="32"/>
          <w:szCs w:val="32"/>
          <w:u w:val="none"/>
          <w:lang w:val="en-US" w:eastAsia="zh-CN"/>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cs="宋体"/>
          <w:b w:val="0"/>
          <w:bCs w:val="0"/>
          <w:sz w:val="32"/>
          <w:szCs w:val="32"/>
          <w:u w:val="none"/>
          <w:lang w:val="en-US" w:eastAsia="zh-CN"/>
        </w:rPr>
        <w:t>县</w:t>
      </w:r>
      <w:r>
        <w:rPr>
          <w:rFonts w:hint="eastAsia" w:ascii="宋体" w:hAnsi="宋体" w:eastAsia="宋体" w:cs="宋体"/>
          <w:b w:val="0"/>
          <w:bCs w:val="0"/>
          <w:sz w:val="32"/>
          <w:szCs w:val="32"/>
          <w:u w:val="none"/>
          <w:lang w:val="en-US" w:eastAsia="zh-CN"/>
        </w:rPr>
        <w:t xml:space="preserve"> </w:t>
      </w:r>
    </w:p>
    <w:p w14:paraId="67709FD2">
      <w:pPr>
        <w:pStyle w:val="2"/>
        <w:pageBreakBefore w:val="0"/>
        <w:widowControl w:val="0"/>
        <w:kinsoku/>
        <w:wordWrap/>
        <w:overflowPunct/>
        <w:topLinePunct w:val="0"/>
        <w:autoSpaceDE/>
        <w:autoSpaceDN/>
        <w:bidi w:val="0"/>
        <w:adjustRightInd/>
        <w:snapToGrid/>
        <w:spacing w:line="600" w:lineRule="exact"/>
        <w:ind w:left="0" w:leftChars="0" w:firstLine="1360" w:firstLineChars="425"/>
        <w:jc w:val="both"/>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u w:val="none"/>
          <w:lang w:val="en-US" w:eastAsia="zh-CN"/>
        </w:rPr>
        <w:t>申报单位名称：</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none"/>
          <w:lang w:val="en-US" w:eastAsia="zh-CN"/>
        </w:rPr>
        <w:t>（公章）</w:t>
      </w:r>
      <w:r>
        <w:rPr>
          <w:rFonts w:hint="eastAsia" w:ascii="宋体" w:hAnsi="宋体" w:eastAsia="宋体" w:cs="宋体"/>
          <w:b w:val="0"/>
          <w:bCs w:val="0"/>
          <w:sz w:val="32"/>
          <w:szCs w:val="32"/>
          <w:lang w:val="en-US" w:eastAsia="zh-CN"/>
        </w:rPr>
        <w:t xml:space="preserve">                 </w:t>
      </w:r>
    </w:p>
    <w:p w14:paraId="2DD9F2B8">
      <w:pPr>
        <w:keepNext w:val="0"/>
        <w:keepLines w:val="0"/>
        <w:pageBreakBefore w:val="0"/>
        <w:widowControl w:val="0"/>
        <w:kinsoku/>
        <w:wordWrap/>
        <w:overflowPunct/>
        <w:topLinePunct w:val="0"/>
        <w:autoSpaceDE/>
        <w:autoSpaceDN/>
        <w:bidi w:val="0"/>
        <w:adjustRightInd/>
        <w:snapToGrid/>
        <w:spacing w:line="600" w:lineRule="exact"/>
        <w:ind w:firstLine="1368" w:firstLineChars="400"/>
        <w:jc w:val="both"/>
        <w:textAlignment w:val="auto"/>
        <w:rPr>
          <w:rFonts w:hint="default" w:ascii="宋体" w:hAnsi="宋体" w:cs="宋体"/>
          <w:b w:val="0"/>
          <w:bCs w:val="0"/>
          <w:color w:val="auto"/>
          <w:kern w:val="2"/>
          <w:sz w:val="32"/>
          <w:szCs w:val="32"/>
          <w:u w:val="none"/>
          <w:lang w:val="en-US" w:eastAsia="zh-CN" w:bidi="ar-SA"/>
        </w:rPr>
      </w:pPr>
      <w:r>
        <w:rPr>
          <w:rFonts w:hint="eastAsia" w:ascii="宋体" w:hAnsi="宋体" w:eastAsia="宋体" w:cs="宋体"/>
          <w:b w:val="0"/>
          <w:bCs w:val="0"/>
          <w:color w:val="auto"/>
          <w:spacing w:val="11"/>
          <w:kern w:val="2"/>
          <w:sz w:val="32"/>
          <w:szCs w:val="32"/>
          <w:u w:val="none"/>
          <w:lang w:val="en-US" w:eastAsia="zh-CN" w:bidi="ar-SA"/>
        </w:rPr>
        <w:t>申 报 日 期</w:t>
      </w:r>
      <w:r>
        <w:rPr>
          <w:rFonts w:hint="eastAsia" w:ascii="宋体" w:hAnsi="宋体" w:eastAsia="宋体" w:cs="宋体"/>
          <w:b w:val="0"/>
          <w:bCs w:val="0"/>
          <w:color w:val="auto"/>
          <w:kern w:val="2"/>
          <w:sz w:val="32"/>
          <w:szCs w:val="32"/>
          <w:u w:val="none"/>
          <w:lang w:val="en-US" w:eastAsia="zh-CN" w:bidi="ar-SA"/>
        </w:rPr>
        <w:t>：</w:t>
      </w:r>
      <w:r>
        <w:rPr>
          <w:rFonts w:hint="eastAsia" w:ascii="宋体" w:hAnsi="宋体" w:eastAsia="宋体" w:cs="宋体"/>
          <w:b w:val="0"/>
          <w:bCs w:val="0"/>
          <w:color w:val="auto"/>
          <w:kern w:val="2"/>
          <w:sz w:val="32"/>
          <w:szCs w:val="32"/>
          <w:u w:val="single"/>
          <w:lang w:val="en-US" w:eastAsia="zh-CN" w:bidi="ar-SA"/>
        </w:rPr>
        <w:t xml:space="preserve">     </w:t>
      </w:r>
      <w:r>
        <w:rPr>
          <w:rFonts w:hint="eastAsia" w:ascii="宋体" w:hAnsi="宋体" w:cs="宋体"/>
          <w:b w:val="0"/>
          <w:bCs w:val="0"/>
          <w:color w:val="auto"/>
          <w:kern w:val="2"/>
          <w:sz w:val="32"/>
          <w:szCs w:val="32"/>
          <w:u w:val="none"/>
          <w:lang w:val="en-US" w:eastAsia="zh-CN" w:bidi="ar-SA"/>
        </w:rPr>
        <w:t>年</w:t>
      </w:r>
      <w:r>
        <w:rPr>
          <w:rFonts w:hint="eastAsia" w:ascii="宋体" w:hAnsi="宋体" w:eastAsia="宋体" w:cs="宋体"/>
          <w:b w:val="0"/>
          <w:bCs w:val="0"/>
          <w:color w:val="auto"/>
          <w:kern w:val="2"/>
          <w:sz w:val="32"/>
          <w:szCs w:val="32"/>
          <w:u w:val="single"/>
          <w:lang w:val="en-US" w:eastAsia="zh-CN" w:bidi="ar-SA"/>
        </w:rPr>
        <w:t xml:space="preserve">  </w:t>
      </w:r>
      <w:r>
        <w:rPr>
          <w:rFonts w:hint="eastAsia" w:ascii="宋体" w:hAnsi="宋体" w:cs="宋体"/>
          <w:b w:val="0"/>
          <w:bCs w:val="0"/>
          <w:color w:val="auto"/>
          <w:kern w:val="2"/>
          <w:sz w:val="32"/>
          <w:szCs w:val="32"/>
          <w:u w:val="single"/>
          <w:lang w:val="en-US" w:eastAsia="zh-CN" w:bidi="ar-SA"/>
        </w:rPr>
        <w:t xml:space="preserve"> </w:t>
      </w:r>
      <w:r>
        <w:rPr>
          <w:rFonts w:hint="eastAsia" w:ascii="宋体" w:hAnsi="宋体" w:eastAsia="宋体" w:cs="宋体"/>
          <w:b w:val="0"/>
          <w:bCs w:val="0"/>
          <w:color w:val="auto"/>
          <w:kern w:val="2"/>
          <w:sz w:val="32"/>
          <w:szCs w:val="32"/>
          <w:u w:val="single"/>
          <w:lang w:val="en-US" w:eastAsia="zh-CN" w:bidi="ar-SA"/>
        </w:rPr>
        <w:t xml:space="preserve">  </w:t>
      </w:r>
      <w:r>
        <w:rPr>
          <w:rFonts w:hint="eastAsia" w:ascii="宋体" w:hAnsi="宋体" w:cs="宋体"/>
          <w:b w:val="0"/>
          <w:bCs w:val="0"/>
          <w:color w:val="auto"/>
          <w:kern w:val="2"/>
          <w:sz w:val="32"/>
          <w:szCs w:val="32"/>
          <w:u w:val="none"/>
          <w:lang w:val="en-US" w:eastAsia="zh-CN" w:bidi="ar-SA"/>
        </w:rPr>
        <w:t>月</w:t>
      </w:r>
      <w:r>
        <w:rPr>
          <w:rFonts w:hint="eastAsia" w:ascii="宋体" w:hAnsi="宋体" w:cs="宋体"/>
          <w:b w:val="0"/>
          <w:bCs w:val="0"/>
          <w:color w:val="auto"/>
          <w:kern w:val="2"/>
          <w:sz w:val="32"/>
          <w:szCs w:val="32"/>
          <w:u w:val="single"/>
          <w:lang w:val="en-US" w:eastAsia="zh-CN" w:bidi="ar-SA"/>
        </w:rPr>
        <w:t xml:space="preserve">    </w:t>
      </w:r>
      <w:r>
        <w:rPr>
          <w:rFonts w:hint="eastAsia" w:ascii="宋体" w:hAnsi="宋体" w:cs="宋体"/>
          <w:b w:val="0"/>
          <w:bCs w:val="0"/>
          <w:color w:val="auto"/>
          <w:kern w:val="2"/>
          <w:sz w:val="32"/>
          <w:szCs w:val="32"/>
          <w:u w:val="none"/>
          <w:lang w:val="en-US" w:eastAsia="zh-CN" w:bidi="ar-SA"/>
        </w:rPr>
        <w:t>日</w:t>
      </w:r>
    </w:p>
    <w:p w14:paraId="49196BB1">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36"/>
          <w:szCs w:val="36"/>
          <w:lang w:val="en-US" w:eastAsia="zh-CN" w:bidi="ar-SA"/>
        </w:rPr>
      </w:pPr>
    </w:p>
    <w:p w14:paraId="4F8579B9">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36"/>
          <w:szCs w:val="36"/>
          <w:lang w:val="en-US" w:eastAsia="zh-CN" w:bidi="ar-SA"/>
        </w:rPr>
      </w:pPr>
      <w:r>
        <w:rPr>
          <w:rFonts w:hint="eastAsia" w:ascii="方正小标宋简体" w:hAnsi="方正小标宋简体" w:eastAsia="方正小标宋简体" w:cs="方正小标宋简体"/>
          <w:b w:val="0"/>
          <w:bCs w:val="0"/>
          <w:color w:val="auto"/>
          <w:kern w:val="2"/>
          <w:sz w:val="36"/>
          <w:szCs w:val="36"/>
          <w:lang w:val="en-US" w:eastAsia="zh-CN" w:bidi="ar-SA"/>
        </w:rPr>
        <w:t>一、“五大行动”骨干场户申报表</w:t>
      </w:r>
    </w:p>
    <w:tbl>
      <w:tblPr>
        <w:tblStyle w:val="10"/>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2298"/>
        <w:gridCol w:w="362"/>
        <w:gridCol w:w="1576"/>
        <w:gridCol w:w="1332"/>
        <w:gridCol w:w="1680"/>
      </w:tblGrid>
      <w:tr w14:paraId="5F21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9" w:type="dxa"/>
            <w:noWrap w:val="0"/>
            <w:vAlign w:val="center"/>
          </w:tcPr>
          <w:p w14:paraId="2054337E">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单位名称</w:t>
            </w:r>
          </w:p>
        </w:tc>
        <w:tc>
          <w:tcPr>
            <w:tcW w:w="7248" w:type="dxa"/>
            <w:gridSpan w:val="5"/>
            <w:noWrap w:val="0"/>
            <w:vAlign w:val="center"/>
          </w:tcPr>
          <w:p w14:paraId="0468F15E">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14:paraId="674B2CE8">
            <w:pPr>
              <w:keepNext w:val="0"/>
              <w:keepLines w:val="0"/>
              <w:pageBreakBefore w:val="0"/>
              <w:tabs>
                <w:tab w:val="left" w:pos="6780"/>
              </w:tabs>
              <w:kinsoku/>
              <w:wordWrap/>
              <w:overflowPunct/>
              <w:topLinePunct w:val="0"/>
              <w:autoSpaceDE/>
              <w:autoSpaceDN/>
              <w:bidi w:val="0"/>
              <w:adjustRightInd/>
              <w:snapToGrid/>
              <w:spacing w:line="300" w:lineRule="exact"/>
              <w:jc w:val="right"/>
              <w:textAlignment w:val="auto"/>
              <w:rPr>
                <w:rFonts w:hint="eastAsia" w:ascii="宋体" w:hAnsi="宋体" w:eastAsia="宋体" w:cs="宋体"/>
                <w:sz w:val="22"/>
                <w:szCs w:val="22"/>
              </w:rPr>
            </w:pPr>
          </w:p>
          <w:p w14:paraId="14120BB2">
            <w:pPr>
              <w:keepNext w:val="0"/>
              <w:keepLines w:val="0"/>
              <w:pageBreakBefore w:val="0"/>
              <w:tabs>
                <w:tab w:val="left" w:pos="6780"/>
              </w:tabs>
              <w:kinsoku/>
              <w:wordWrap/>
              <w:overflowPunct/>
              <w:topLinePunct w:val="0"/>
              <w:autoSpaceDE/>
              <w:autoSpaceDN/>
              <w:bidi w:val="0"/>
              <w:adjustRightInd/>
              <w:snapToGrid/>
              <w:spacing w:line="300" w:lineRule="exact"/>
              <w:jc w:val="right"/>
              <w:textAlignment w:val="auto"/>
              <w:rPr>
                <w:rFonts w:hint="eastAsia" w:ascii="宋体" w:hAnsi="宋体" w:eastAsia="宋体" w:cs="宋体"/>
                <w:sz w:val="22"/>
                <w:szCs w:val="22"/>
              </w:rPr>
            </w:pPr>
          </w:p>
          <w:p w14:paraId="0C67A74C">
            <w:pPr>
              <w:keepNext w:val="0"/>
              <w:keepLines w:val="0"/>
              <w:pageBreakBefore w:val="0"/>
              <w:tabs>
                <w:tab w:val="left" w:pos="6780"/>
              </w:tabs>
              <w:kinsoku/>
              <w:wordWrap/>
              <w:overflowPunct/>
              <w:topLinePunct w:val="0"/>
              <w:autoSpaceDE/>
              <w:autoSpaceDN/>
              <w:bidi w:val="0"/>
              <w:adjustRightInd/>
              <w:snapToGrid/>
              <w:spacing w:line="300" w:lineRule="exact"/>
              <w:jc w:val="right"/>
              <w:textAlignment w:val="auto"/>
              <w:rPr>
                <w:rFonts w:hint="eastAsia" w:ascii="宋体" w:hAnsi="宋体" w:eastAsia="宋体" w:cs="宋体"/>
                <w:sz w:val="22"/>
                <w:szCs w:val="22"/>
              </w:rPr>
            </w:pPr>
          </w:p>
          <w:p w14:paraId="69AE9A02">
            <w:pPr>
              <w:keepNext w:val="0"/>
              <w:keepLines w:val="0"/>
              <w:pageBreakBefore w:val="0"/>
              <w:tabs>
                <w:tab w:val="left" w:pos="6780"/>
              </w:tabs>
              <w:kinsoku/>
              <w:wordWrap/>
              <w:overflowPunct/>
              <w:topLinePunct w:val="0"/>
              <w:autoSpaceDE/>
              <w:autoSpaceDN/>
              <w:bidi w:val="0"/>
              <w:adjustRightInd/>
              <w:snapToGrid/>
              <w:spacing w:line="300" w:lineRule="exact"/>
              <w:jc w:val="right"/>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eastAsia="zh-CN"/>
              </w:rPr>
              <w:t>（</w:t>
            </w:r>
            <w:r>
              <w:rPr>
                <w:rFonts w:hint="eastAsia" w:ascii="宋体" w:hAnsi="宋体" w:eastAsia="宋体" w:cs="宋体"/>
                <w:sz w:val="22"/>
                <w:szCs w:val="22"/>
              </w:rPr>
              <w:t>加盖单位盖章，否则视为无效）</w:t>
            </w:r>
          </w:p>
        </w:tc>
      </w:tr>
      <w:tr w14:paraId="1704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6B2D8E15">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单位性质</w:t>
            </w:r>
          </w:p>
        </w:tc>
        <w:tc>
          <w:tcPr>
            <w:tcW w:w="7248" w:type="dxa"/>
            <w:gridSpan w:val="5"/>
            <w:noWrap w:val="0"/>
            <w:vAlign w:val="center"/>
          </w:tcPr>
          <w:p w14:paraId="737FE17F">
            <w:pPr>
              <w:keepNext w:val="0"/>
              <w:keepLines w:val="0"/>
              <w:pageBreakBefore w:val="0"/>
              <w:widowControl w:val="0"/>
              <w:tabs>
                <w:tab w:val="left" w:pos="6780"/>
              </w:tab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2"/>
                <w:szCs w:val="22"/>
                <w:u w:val="single"/>
              </w:rPr>
            </w:pPr>
            <w:r>
              <w:rPr>
                <w:rFonts w:hint="eastAsia" w:ascii="宋体" w:hAnsi="宋体" w:eastAsia="宋体" w:cs="宋体"/>
                <w:kern w:val="2"/>
                <w:sz w:val="22"/>
                <w:szCs w:val="22"/>
                <w:lang w:val="en-US" w:bidi="ar-SA"/>
              </w:rPr>
              <w:t xml:space="preserve">□企业 </w:t>
            </w:r>
            <w:r>
              <w:rPr>
                <w:rFonts w:hint="eastAsia" w:ascii="宋体" w:hAnsi="宋体" w:eastAsia="宋体" w:cs="宋体"/>
                <w:kern w:val="2"/>
                <w:sz w:val="22"/>
                <w:szCs w:val="22"/>
                <w:lang w:val="en-US" w:eastAsia="zh-CN" w:bidi="ar-SA"/>
              </w:rPr>
              <w:t xml:space="preserve"> </w:t>
            </w:r>
            <w:r>
              <w:rPr>
                <w:rFonts w:hint="eastAsia" w:ascii="宋体" w:hAnsi="宋体" w:eastAsia="宋体" w:cs="宋体"/>
                <w:kern w:val="2"/>
                <w:sz w:val="22"/>
                <w:szCs w:val="22"/>
                <w:lang w:val="en-US" w:bidi="ar-SA"/>
              </w:rPr>
              <w:t xml:space="preserve"> □合作社</w:t>
            </w:r>
            <w:r>
              <w:rPr>
                <w:rFonts w:hint="eastAsia" w:ascii="宋体" w:hAnsi="宋体" w:eastAsia="宋体" w:cs="宋体"/>
                <w:kern w:val="2"/>
                <w:sz w:val="22"/>
                <w:szCs w:val="22"/>
                <w:lang w:val="en-US" w:eastAsia="zh-CN" w:bidi="ar-SA"/>
              </w:rPr>
              <w:t xml:space="preserve"> </w:t>
            </w:r>
            <w:r>
              <w:rPr>
                <w:rFonts w:hint="eastAsia" w:ascii="宋体" w:hAnsi="宋体" w:eastAsia="宋体" w:cs="宋体"/>
                <w:kern w:val="2"/>
                <w:sz w:val="22"/>
                <w:szCs w:val="22"/>
                <w:lang w:val="en-US" w:bidi="ar-SA"/>
              </w:rPr>
              <w:t xml:space="preserve">  □事业单位 </w:t>
            </w:r>
            <w:r>
              <w:rPr>
                <w:rFonts w:hint="eastAsia" w:ascii="宋体" w:hAnsi="宋体" w:eastAsia="宋体" w:cs="宋体"/>
                <w:kern w:val="2"/>
                <w:sz w:val="22"/>
                <w:szCs w:val="22"/>
                <w:lang w:val="en-US" w:eastAsia="zh-CN" w:bidi="ar-SA"/>
              </w:rPr>
              <w:t xml:space="preserve"> </w:t>
            </w:r>
            <w:r>
              <w:rPr>
                <w:rFonts w:hint="eastAsia" w:ascii="宋体" w:hAnsi="宋体" w:eastAsia="宋体" w:cs="宋体"/>
                <w:kern w:val="2"/>
                <w:sz w:val="22"/>
                <w:szCs w:val="22"/>
                <w:lang w:val="en-US" w:bidi="ar-SA"/>
              </w:rPr>
              <w:t xml:space="preserve"> □家庭农场</w:t>
            </w:r>
            <w:r>
              <w:rPr>
                <w:rFonts w:hint="eastAsia" w:ascii="宋体" w:hAnsi="宋体" w:eastAsia="宋体" w:cs="宋体"/>
                <w:kern w:val="2"/>
                <w:sz w:val="22"/>
                <w:szCs w:val="22"/>
                <w:lang w:val="en-US" w:eastAsia="zh-CN" w:bidi="ar-SA"/>
              </w:rPr>
              <w:t xml:space="preserve"> </w:t>
            </w:r>
            <w:r>
              <w:rPr>
                <w:rFonts w:hint="eastAsia" w:ascii="宋体" w:hAnsi="宋体" w:eastAsia="宋体" w:cs="宋体"/>
                <w:kern w:val="2"/>
                <w:sz w:val="22"/>
                <w:szCs w:val="22"/>
                <w:lang w:val="en-US" w:bidi="ar-SA"/>
              </w:rPr>
              <w:t xml:space="preserve">  □其他</w:t>
            </w:r>
          </w:p>
        </w:tc>
      </w:tr>
      <w:tr w14:paraId="4901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27099DCE">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联</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系</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人</w:t>
            </w:r>
          </w:p>
        </w:tc>
        <w:tc>
          <w:tcPr>
            <w:tcW w:w="2298" w:type="dxa"/>
            <w:noWrap w:val="0"/>
            <w:vAlign w:val="center"/>
          </w:tcPr>
          <w:p w14:paraId="3623049A">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938" w:type="dxa"/>
            <w:gridSpan w:val="2"/>
            <w:noWrap w:val="0"/>
            <w:vAlign w:val="center"/>
          </w:tcPr>
          <w:p w14:paraId="1A593105">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联系电话</w:t>
            </w:r>
          </w:p>
        </w:tc>
        <w:tc>
          <w:tcPr>
            <w:tcW w:w="3012" w:type="dxa"/>
            <w:gridSpan w:val="2"/>
            <w:noWrap w:val="0"/>
            <w:vAlign w:val="center"/>
          </w:tcPr>
          <w:p w14:paraId="082D9B2C">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r>
      <w:tr w14:paraId="2813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7FAD78D3">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通信地址</w:t>
            </w:r>
          </w:p>
        </w:tc>
        <w:tc>
          <w:tcPr>
            <w:tcW w:w="4236" w:type="dxa"/>
            <w:gridSpan w:val="3"/>
            <w:noWrap w:val="0"/>
            <w:vAlign w:val="center"/>
          </w:tcPr>
          <w:p w14:paraId="1F8BB160">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p>
        </w:tc>
        <w:tc>
          <w:tcPr>
            <w:tcW w:w="1332" w:type="dxa"/>
            <w:noWrap w:val="0"/>
            <w:vAlign w:val="center"/>
          </w:tcPr>
          <w:p w14:paraId="22755CDB">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邮编</w:t>
            </w:r>
          </w:p>
        </w:tc>
        <w:tc>
          <w:tcPr>
            <w:tcW w:w="1680" w:type="dxa"/>
            <w:noWrap w:val="0"/>
            <w:vAlign w:val="center"/>
          </w:tcPr>
          <w:p w14:paraId="00531F72">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r>
      <w:tr w14:paraId="4F64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68D3E407">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主养品种</w:t>
            </w:r>
          </w:p>
        </w:tc>
        <w:tc>
          <w:tcPr>
            <w:tcW w:w="2298" w:type="dxa"/>
            <w:noWrap w:val="0"/>
            <w:vAlign w:val="center"/>
          </w:tcPr>
          <w:p w14:paraId="0DB4F26B">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938" w:type="dxa"/>
            <w:gridSpan w:val="2"/>
            <w:noWrap w:val="0"/>
            <w:vAlign w:val="center"/>
          </w:tcPr>
          <w:p w14:paraId="71A6D71C">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养殖</w:t>
            </w:r>
            <w:r>
              <w:rPr>
                <w:rFonts w:hint="eastAsia" w:ascii="宋体" w:hAnsi="宋体" w:eastAsia="宋体" w:cs="宋体"/>
                <w:sz w:val="22"/>
                <w:szCs w:val="22"/>
                <w:lang w:eastAsia="zh-CN"/>
              </w:rPr>
              <w:t>方</w:t>
            </w:r>
            <w:r>
              <w:rPr>
                <w:rFonts w:hint="eastAsia" w:ascii="宋体" w:hAnsi="宋体" w:eastAsia="宋体" w:cs="宋体"/>
                <w:sz w:val="22"/>
                <w:szCs w:val="22"/>
              </w:rPr>
              <w:t>式</w:t>
            </w:r>
          </w:p>
        </w:tc>
        <w:tc>
          <w:tcPr>
            <w:tcW w:w="3012" w:type="dxa"/>
            <w:gridSpan w:val="2"/>
            <w:noWrap w:val="0"/>
            <w:vAlign w:val="center"/>
          </w:tcPr>
          <w:p w14:paraId="095C2E52">
            <w:pPr>
              <w:keepNext w:val="0"/>
              <w:keepLines w:val="0"/>
              <w:pageBreakBefore w:val="0"/>
              <w:tabs>
                <w:tab w:val="left" w:pos="6780"/>
              </w:tabs>
              <w:kinsoku/>
              <w:wordWrap/>
              <w:overflowPunct/>
              <w:topLinePunct w:val="0"/>
              <w:autoSpaceDE/>
              <w:autoSpaceDN/>
              <w:bidi w:val="0"/>
              <w:adjustRightInd/>
              <w:snapToGrid/>
              <w:spacing w:line="300" w:lineRule="exact"/>
              <w:jc w:val="left"/>
              <w:textAlignment w:val="auto"/>
              <w:rPr>
                <w:rFonts w:hint="eastAsia" w:ascii="宋体" w:hAnsi="宋体" w:eastAsia="宋体" w:cs="宋体"/>
                <w:sz w:val="22"/>
                <w:szCs w:val="22"/>
                <w:u w:val="single"/>
              </w:rPr>
            </w:pPr>
          </w:p>
        </w:tc>
      </w:tr>
      <w:tr w14:paraId="59AC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298FB025">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养殖面积</w:t>
            </w:r>
          </w:p>
        </w:tc>
        <w:tc>
          <w:tcPr>
            <w:tcW w:w="2298" w:type="dxa"/>
            <w:noWrap w:val="0"/>
            <w:vAlign w:val="center"/>
          </w:tcPr>
          <w:p w14:paraId="65932E53">
            <w:pPr>
              <w:keepNext w:val="0"/>
              <w:keepLines w:val="0"/>
              <w:pageBreakBefore w:val="0"/>
              <w:tabs>
                <w:tab w:val="left" w:pos="6780"/>
              </w:tabs>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亩或 </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M³</w:t>
            </w:r>
          </w:p>
        </w:tc>
        <w:tc>
          <w:tcPr>
            <w:tcW w:w="4950" w:type="dxa"/>
            <w:gridSpan w:val="4"/>
            <w:noWrap w:val="0"/>
            <w:vAlign w:val="center"/>
          </w:tcPr>
          <w:p w14:paraId="462966CB">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u w:val="single"/>
              </w:rPr>
            </w:pPr>
            <w:r>
              <w:rPr>
                <w:rFonts w:hint="eastAsia" w:ascii="宋体" w:hAnsi="宋体" w:eastAsia="宋体" w:cs="宋体"/>
                <w:sz w:val="22"/>
                <w:szCs w:val="22"/>
                <w:lang w:val="en-US" w:eastAsia="zh-CN"/>
              </w:rPr>
              <w:t>2024</w:t>
            </w:r>
            <w:r>
              <w:rPr>
                <w:rFonts w:hint="eastAsia" w:ascii="宋体" w:hAnsi="宋体" w:eastAsia="宋体" w:cs="宋体"/>
                <w:sz w:val="22"/>
                <w:szCs w:val="22"/>
              </w:rPr>
              <w:t>年总产量</w:t>
            </w:r>
            <w:r>
              <w:rPr>
                <w:rFonts w:hint="eastAsia" w:ascii="宋体" w:hAnsi="宋体" w:eastAsia="宋体" w:cs="宋体"/>
                <w:sz w:val="22"/>
                <w:szCs w:val="22"/>
                <w:u w:val="single"/>
              </w:rPr>
              <w:t xml:space="preserve">    </w:t>
            </w:r>
            <w:r>
              <w:rPr>
                <w:rFonts w:hint="eastAsia" w:ascii="宋体" w:hAnsi="宋体" w:eastAsia="宋体" w:cs="宋体"/>
                <w:sz w:val="22"/>
                <w:szCs w:val="22"/>
              </w:rPr>
              <w:t>吨，总效益</w:t>
            </w:r>
            <w:r>
              <w:rPr>
                <w:rFonts w:hint="eastAsia" w:ascii="宋体" w:hAnsi="宋体" w:eastAsia="宋体" w:cs="宋体"/>
                <w:sz w:val="22"/>
                <w:szCs w:val="22"/>
                <w:u w:val="single"/>
              </w:rPr>
              <w:t xml:space="preserve">    </w:t>
            </w:r>
            <w:r>
              <w:rPr>
                <w:rFonts w:hint="eastAsia" w:ascii="宋体" w:hAnsi="宋体" w:eastAsia="宋体" w:cs="宋体"/>
                <w:sz w:val="22"/>
                <w:szCs w:val="22"/>
              </w:rPr>
              <w:t>万元</w:t>
            </w:r>
          </w:p>
        </w:tc>
      </w:tr>
      <w:tr w14:paraId="6CF4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3BAE49B3">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饲料</w:t>
            </w:r>
            <w:r>
              <w:rPr>
                <w:rFonts w:hint="eastAsia" w:ascii="宋体" w:hAnsi="宋体" w:eastAsia="宋体" w:cs="宋体"/>
                <w:sz w:val="22"/>
                <w:szCs w:val="22"/>
                <w:lang w:eastAsia="zh-CN"/>
              </w:rPr>
              <w:t>使用情况</w:t>
            </w:r>
          </w:p>
        </w:tc>
        <w:tc>
          <w:tcPr>
            <w:tcW w:w="7248" w:type="dxa"/>
            <w:gridSpan w:val="5"/>
            <w:noWrap w:val="0"/>
            <w:vAlign w:val="center"/>
          </w:tcPr>
          <w:p w14:paraId="371C9892">
            <w:pPr>
              <w:keepNext w:val="0"/>
              <w:keepLines w:val="0"/>
              <w:pageBreakBefore w:val="0"/>
              <w:tabs>
                <w:tab w:val="left" w:pos="6780"/>
              </w:tabs>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u w:val="none"/>
                <w:lang w:val="en-US" w:eastAsia="zh-CN" w:bidi="ar-SA"/>
              </w:rPr>
              <w:t>（</w:t>
            </w:r>
            <w:r>
              <w:rPr>
                <w:rFonts w:hint="eastAsia" w:ascii="宋体" w:hAnsi="宋体" w:eastAsia="宋体" w:cs="宋体"/>
                <w:sz w:val="22"/>
                <w:szCs w:val="22"/>
                <w:lang w:val="en-US" w:eastAsia="zh-CN" w:bidi="ar-SA"/>
              </w:rPr>
              <w:t>是否投饲、饲料类型及投饲强度</w:t>
            </w:r>
            <w:r>
              <w:rPr>
                <w:rFonts w:hint="eastAsia" w:ascii="宋体" w:hAnsi="宋体" w:eastAsia="宋体" w:cs="宋体"/>
                <w:sz w:val="22"/>
                <w:szCs w:val="22"/>
                <w:u w:val="none"/>
                <w:lang w:val="en-US" w:eastAsia="zh-CN" w:bidi="ar-SA"/>
              </w:rPr>
              <w:t>）</w:t>
            </w:r>
          </w:p>
        </w:tc>
      </w:tr>
      <w:tr w14:paraId="6D66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30020ACA">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尾水处理模式</w:t>
            </w:r>
          </w:p>
        </w:tc>
        <w:tc>
          <w:tcPr>
            <w:tcW w:w="7248" w:type="dxa"/>
            <w:gridSpan w:val="5"/>
            <w:noWrap w:val="0"/>
            <w:vAlign w:val="center"/>
          </w:tcPr>
          <w:p w14:paraId="131ACAD9">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r>
      <w:tr w14:paraId="1959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4F84574A">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优势与特色</w:t>
            </w:r>
          </w:p>
        </w:tc>
        <w:tc>
          <w:tcPr>
            <w:tcW w:w="7248" w:type="dxa"/>
            <w:gridSpan w:val="5"/>
            <w:noWrap w:val="0"/>
            <w:vAlign w:val="center"/>
          </w:tcPr>
          <w:p w14:paraId="59821CDF">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r>
      <w:tr w14:paraId="32ED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78DC1BDA">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挑战与问题</w:t>
            </w:r>
          </w:p>
        </w:tc>
        <w:tc>
          <w:tcPr>
            <w:tcW w:w="7248" w:type="dxa"/>
            <w:gridSpan w:val="5"/>
            <w:noWrap w:val="0"/>
            <w:vAlign w:val="center"/>
          </w:tcPr>
          <w:p w14:paraId="377A2E7B">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r>
      <w:tr w14:paraId="21F7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4349" w:type="dxa"/>
            <w:gridSpan w:val="3"/>
            <w:noWrap w:val="0"/>
            <w:vAlign w:val="center"/>
          </w:tcPr>
          <w:p w14:paraId="153222C4">
            <w:pPr>
              <w:keepNext w:val="0"/>
              <w:keepLines w:val="0"/>
              <w:pageBreakBefore w:val="0"/>
              <w:widowControl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县级水产技术推广</w:t>
            </w:r>
            <w:r>
              <w:rPr>
                <w:rFonts w:hint="eastAsia" w:ascii="宋体" w:hAnsi="宋体" w:eastAsia="宋体" w:cs="宋体"/>
                <w:sz w:val="22"/>
                <w:szCs w:val="22"/>
                <w:lang w:eastAsia="zh-CN"/>
              </w:rPr>
              <w:t>部门</w:t>
            </w:r>
            <w:r>
              <w:rPr>
                <w:rFonts w:hint="eastAsia" w:ascii="宋体" w:hAnsi="宋体" w:eastAsia="宋体" w:cs="宋体"/>
                <w:sz w:val="22"/>
                <w:szCs w:val="22"/>
              </w:rPr>
              <w:t>意见</w:t>
            </w:r>
          </w:p>
          <w:p w14:paraId="69F97BEA">
            <w:pPr>
              <w:keepNext w:val="0"/>
              <w:keepLines w:val="0"/>
              <w:pageBreakBefore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p>
          <w:p w14:paraId="415F377A">
            <w:pPr>
              <w:keepNext w:val="0"/>
              <w:keepLines w:val="0"/>
              <w:pageBreakBefore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p>
          <w:p w14:paraId="25FB6B1C">
            <w:pPr>
              <w:keepNext w:val="0"/>
              <w:keepLines w:val="0"/>
              <w:pageBreakBefore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p>
          <w:p w14:paraId="06C2930F">
            <w:pPr>
              <w:pStyle w:val="2"/>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p>
          <w:p w14:paraId="4FE9AFC0">
            <w:pPr>
              <w:pStyle w:val="2"/>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p>
          <w:p w14:paraId="2DF4BC4F">
            <w:pPr>
              <w:keepNext w:val="0"/>
              <w:keepLines w:val="0"/>
              <w:pageBreakBefore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（盖章</w:t>
            </w:r>
            <w:r>
              <w:rPr>
                <w:rFonts w:hint="eastAsia" w:ascii="宋体" w:hAnsi="宋体" w:eastAsia="宋体" w:cs="宋体"/>
                <w:sz w:val="22"/>
                <w:szCs w:val="22"/>
                <w:lang w:eastAsia="zh-CN"/>
              </w:rPr>
              <w:t>）</w:t>
            </w:r>
            <w:r>
              <w:rPr>
                <w:rFonts w:hint="eastAsia" w:ascii="宋体" w:hAnsi="宋体" w:eastAsia="宋体" w:cs="宋体"/>
                <w:sz w:val="22"/>
                <w:szCs w:val="22"/>
              </w:rPr>
              <w:t xml:space="preserve">        </w:t>
            </w:r>
          </w:p>
          <w:p w14:paraId="36D25B67">
            <w:pPr>
              <w:keepNext w:val="0"/>
              <w:keepLines w:val="0"/>
              <w:pageBreakBefore w:val="0"/>
              <w:widowControl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   月   日</w:t>
            </w:r>
          </w:p>
        </w:tc>
        <w:tc>
          <w:tcPr>
            <w:tcW w:w="4588" w:type="dxa"/>
            <w:gridSpan w:val="3"/>
            <w:noWrap w:val="0"/>
            <w:vAlign w:val="center"/>
          </w:tcPr>
          <w:p w14:paraId="4F636930">
            <w:pPr>
              <w:keepNext w:val="0"/>
              <w:keepLines w:val="0"/>
              <w:pageBreakBefore w:val="0"/>
              <w:widowControl w:val="0"/>
              <w:tabs>
                <w:tab w:val="left" w:pos="6780"/>
              </w:tabs>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市级水产技术推广</w:t>
            </w:r>
            <w:r>
              <w:rPr>
                <w:rFonts w:hint="eastAsia" w:ascii="宋体" w:hAnsi="宋体" w:eastAsia="宋体" w:cs="宋体"/>
                <w:sz w:val="22"/>
                <w:szCs w:val="22"/>
                <w:lang w:eastAsia="zh-CN"/>
              </w:rPr>
              <w:t>部门</w:t>
            </w:r>
            <w:r>
              <w:rPr>
                <w:rFonts w:hint="eastAsia" w:ascii="宋体" w:hAnsi="宋体" w:eastAsia="宋体" w:cs="宋体"/>
                <w:sz w:val="22"/>
                <w:szCs w:val="22"/>
              </w:rPr>
              <w:t>意见</w:t>
            </w:r>
          </w:p>
          <w:p w14:paraId="535DF4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p w14:paraId="4A0C08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p w14:paraId="6301346E">
            <w:pPr>
              <w:pStyle w:val="2"/>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p>
          <w:p w14:paraId="1B3379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p w14:paraId="464B5576">
            <w:pPr>
              <w:pStyle w:val="2"/>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p>
          <w:p w14:paraId="223FE8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（盖章）</w:t>
            </w:r>
          </w:p>
          <w:p w14:paraId="2C5FA1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   月   日</w:t>
            </w:r>
          </w:p>
        </w:tc>
      </w:tr>
    </w:tbl>
    <w:p w14:paraId="294FB83A">
      <w:pPr>
        <w:keepNext w:val="0"/>
        <w:keepLines w:val="0"/>
        <w:pageBreakBefore w:val="0"/>
        <w:widowControl w:val="0"/>
        <w:kinsoku/>
        <w:wordWrap/>
        <w:overflowPunct/>
        <w:topLinePunct w:val="0"/>
        <w:autoSpaceDE w:val="0"/>
        <w:autoSpaceDN w:val="0"/>
        <w:bidi w:val="0"/>
        <w:adjustRightInd/>
        <w:snapToGrid/>
        <w:spacing w:before="313" w:beforeLines="100" w:line="480" w:lineRule="exact"/>
        <w:textAlignment w:val="auto"/>
        <w:rPr>
          <w:rFonts w:hint="eastAsia" w:ascii="宋体" w:hAnsi="宋体" w:eastAsia="宋体" w:cs="宋体"/>
          <w:sz w:val="24"/>
        </w:rPr>
      </w:pPr>
      <w:r>
        <w:rPr>
          <w:rFonts w:hint="eastAsia" w:ascii="宋体" w:hAnsi="宋体" w:eastAsia="宋体" w:cs="宋体"/>
          <w:sz w:val="24"/>
          <w:szCs w:val="24"/>
          <w:lang w:val="en-US"/>
        </w:rPr>
        <w:t>说明：</w:t>
      </w:r>
      <w:r>
        <w:rPr>
          <w:rFonts w:hint="eastAsia" w:ascii="宋体" w:hAnsi="宋体" w:eastAsia="宋体" w:cs="宋体"/>
          <w:sz w:val="24"/>
        </w:rPr>
        <w:t>1.此表需出具市、县级水产技术</w:t>
      </w:r>
      <w:r>
        <w:rPr>
          <w:rFonts w:hint="eastAsia" w:ascii="宋体" w:hAnsi="宋体" w:eastAsia="宋体" w:cs="宋体"/>
          <w:sz w:val="24"/>
          <w:lang w:eastAsia="zh-CN"/>
        </w:rPr>
        <w:t>推广</w:t>
      </w:r>
      <w:r>
        <w:rPr>
          <w:rFonts w:hint="eastAsia" w:ascii="宋体" w:hAnsi="宋体" w:eastAsia="宋体" w:cs="宋体"/>
          <w:sz w:val="24"/>
          <w:szCs w:val="24"/>
          <w:lang w:eastAsia="zh-CN"/>
        </w:rPr>
        <w:t>部门</w:t>
      </w:r>
      <w:r>
        <w:rPr>
          <w:rFonts w:hint="eastAsia" w:ascii="宋体" w:hAnsi="宋体" w:eastAsia="宋体" w:cs="宋体"/>
          <w:sz w:val="24"/>
        </w:rPr>
        <w:t>意见，并加盖公章，否则视为无效。</w:t>
      </w:r>
    </w:p>
    <w:p w14:paraId="6C78A5CB">
      <w:pPr>
        <w:keepNext w:val="0"/>
        <w:keepLines w:val="0"/>
        <w:pageBreakBefore w:val="0"/>
        <w:widowControl w:val="0"/>
        <w:numPr>
          <w:ilvl w:val="0"/>
          <w:numId w:val="0"/>
        </w:numPr>
        <w:tabs>
          <w:tab w:val="left" w:pos="6780"/>
        </w:tabs>
        <w:kinsoku/>
        <w:wordWrap/>
        <w:overflowPunct/>
        <w:topLinePunct w:val="0"/>
        <w:autoSpaceDE/>
        <w:autoSpaceDN/>
        <w:bidi w:val="0"/>
        <w:adjustRightInd/>
        <w:snapToGrid/>
        <w:spacing w:line="480" w:lineRule="exact"/>
        <w:ind w:left="958" w:leftChars="342" w:hanging="240" w:hangingChars="100"/>
        <w:jc w:val="both"/>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.养殖</w:t>
      </w:r>
      <w:r>
        <w:rPr>
          <w:rFonts w:hint="eastAsia" w:ascii="宋体" w:hAnsi="宋体" w:eastAsia="宋体" w:cs="宋体"/>
          <w:sz w:val="24"/>
          <w:lang w:eastAsia="zh-CN"/>
        </w:rPr>
        <w:t>方式主要包括：</w:t>
      </w:r>
      <w:r>
        <w:rPr>
          <w:rFonts w:hint="eastAsia" w:ascii="宋体" w:hAnsi="宋体" w:eastAsia="宋体" w:cs="宋体"/>
          <w:sz w:val="24"/>
        </w:rPr>
        <w:t>池塘养殖、工厂化循环水</w:t>
      </w:r>
      <w:r>
        <w:rPr>
          <w:rFonts w:hint="eastAsia" w:ascii="宋体" w:hAnsi="宋体" w:eastAsia="宋体" w:cs="宋体"/>
          <w:sz w:val="24"/>
          <w:lang w:eastAsia="zh-CN"/>
        </w:rPr>
        <w:t>养殖</w:t>
      </w:r>
      <w:r>
        <w:rPr>
          <w:rFonts w:hint="eastAsia" w:ascii="宋体" w:hAnsi="宋体" w:eastAsia="宋体" w:cs="宋体"/>
          <w:sz w:val="24"/>
        </w:rPr>
        <w:t>、</w:t>
      </w:r>
      <w:r>
        <w:rPr>
          <w:rFonts w:hint="eastAsia" w:ascii="宋体" w:hAnsi="宋体" w:eastAsia="宋体" w:cs="宋体"/>
          <w:sz w:val="24"/>
          <w:lang w:eastAsia="zh-CN"/>
        </w:rPr>
        <w:t>稻（莲）渔</w:t>
      </w:r>
      <w:r>
        <w:rPr>
          <w:rFonts w:hint="eastAsia" w:ascii="宋体" w:hAnsi="宋体" w:eastAsia="宋体" w:cs="宋体"/>
          <w:sz w:val="24"/>
        </w:rPr>
        <w:t>综合种养、大水面生态增养殖、网箱养殖、其他（需说明）。</w:t>
      </w:r>
    </w:p>
    <w:p w14:paraId="23750600">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36"/>
          <w:szCs w:val="36"/>
          <w:lang w:val="en-US" w:eastAsia="zh-CN" w:bidi="ar-SA"/>
        </w:rPr>
      </w:pPr>
    </w:p>
    <w:p w14:paraId="433FA389">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方正小标宋简体" w:hAnsi="方正小标宋简体" w:eastAsia="方正小标宋简体" w:cs="方正小标宋简体"/>
          <w:b w:val="0"/>
          <w:bCs w:val="0"/>
          <w:color w:val="auto"/>
          <w:kern w:val="2"/>
          <w:sz w:val="36"/>
          <w:szCs w:val="36"/>
          <w:lang w:val="en-US" w:eastAsia="zh-CN" w:bidi="ar-SA"/>
        </w:rPr>
      </w:pPr>
      <w:r>
        <w:rPr>
          <w:rFonts w:hint="eastAsia" w:ascii="方正小标宋简体" w:hAnsi="方正小标宋简体" w:eastAsia="方正小标宋简体" w:cs="方正小标宋简体"/>
          <w:b w:val="0"/>
          <w:bCs w:val="0"/>
          <w:color w:val="auto"/>
          <w:kern w:val="2"/>
          <w:sz w:val="36"/>
          <w:szCs w:val="36"/>
          <w:lang w:val="en-US" w:eastAsia="zh-CN" w:bidi="ar-SA"/>
        </w:rPr>
        <w:t>二、“五大行动”骨干场户申报基本条件情况表</w:t>
      </w:r>
    </w:p>
    <w:tbl>
      <w:tblPr>
        <w:tblStyle w:val="11"/>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7184"/>
      </w:tblGrid>
      <w:tr w14:paraId="75A8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34" w:type="dxa"/>
            <w:noWrap w:val="0"/>
            <w:vAlign w:val="center"/>
          </w:tcPr>
          <w:p w14:paraId="0FB793E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条件类别</w:t>
            </w:r>
          </w:p>
        </w:tc>
        <w:tc>
          <w:tcPr>
            <w:tcW w:w="7184" w:type="dxa"/>
            <w:noWrap w:val="0"/>
            <w:vAlign w:val="center"/>
          </w:tcPr>
          <w:p w14:paraId="12B052E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具体要求</w:t>
            </w:r>
          </w:p>
        </w:tc>
      </w:tr>
      <w:tr w14:paraId="42D1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834" w:type="dxa"/>
            <w:noWrap w:val="0"/>
            <w:vAlign w:val="center"/>
          </w:tcPr>
          <w:p w14:paraId="084AA78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
                <w:bCs w:val="0"/>
                <w:sz w:val="22"/>
                <w:szCs w:val="22"/>
                <w:lang w:val="en-US" w:eastAsia="zh-CN"/>
              </w:rPr>
            </w:pPr>
            <w:r>
              <w:rPr>
                <w:rFonts w:hint="eastAsia" w:ascii="宋体" w:hAnsi="宋体" w:eastAsia="宋体" w:cs="宋体"/>
                <w:b w:val="0"/>
                <w:bCs/>
                <w:sz w:val="22"/>
                <w:szCs w:val="22"/>
                <w:lang w:val="en-US" w:eastAsia="zh-CN"/>
              </w:rPr>
              <w:t>一、主体资格</w:t>
            </w:r>
          </w:p>
        </w:tc>
        <w:tc>
          <w:tcPr>
            <w:tcW w:w="7184" w:type="dxa"/>
            <w:noWrap w:val="0"/>
            <w:vAlign w:val="center"/>
          </w:tcPr>
          <w:p w14:paraId="77978AE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b/>
                <w:bCs w:val="0"/>
                <w:sz w:val="22"/>
                <w:szCs w:val="22"/>
                <w:lang w:val="en-US" w:eastAsia="zh-CN"/>
              </w:rPr>
            </w:pPr>
            <w:r>
              <w:rPr>
                <w:rFonts w:hint="eastAsia" w:ascii="宋体" w:hAnsi="宋体" w:eastAsia="宋体" w:cs="宋体"/>
                <w:sz w:val="22"/>
                <w:szCs w:val="22"/>
              </w:rPr>
              <w:t>应为事业单位、集体经济组织、企业、农民专业合作社、家庭农场或个体工商户等具有独立法人资格或依法登记的经营主体。边界清晰，无土地、水面使用权纠纷</w:t>
            </w:r>
            <w:r>
              <w:rPr>
                <w:rFonts w:hint="eastAsia" w:ascii="宋体" w:hAnsi="宋体" w:eastAsia="宋体" w:cs="宋体"/>
                <w:sz w:val="22"/>
                <w:szCs w:val="22"/>
                <w:lang w:eastAsia="zh-CN"/>
              </w:rPr>
              <w:t>。</w:t>
            </w:r>
          </w:p>
        </w:tc>
      </w:tr>
      <w:tr w14:paraId="36F2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834" w:type="dxa"/>
            <w:noWrap w:val="0"/>
            <w:vAlign w:val="center"/>
          </w:tcPr>
          <w:p w14:paraId="383E66B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Cs/>
                <w:color w:val="auto"/>
                <w:kern w:val="0"/>
                <w:sz w:val="22"/>
                <w:szCs w:val="22"/>
                <w:lang w:val="en-US" w:eastAsia="zh-CN" w:bidi="ar"/>
              </w:rPr>
            </w:pPr>
            <w:r>
              <w:rPr>
                <w:rFonts w:hint="eastAsia" w:ascii="宋体" w:hAnsi="宋体" w:eastAsia="宋体" w:cs="宋体"/>
                <w:bCs/>
                <w:sz w:val="22"/>
                <w:szCs w:val="22"/>
                <w:lang w:val="en-US" w:eastAsia="zh-CN"/>
              </w:rPr>
              <w:t>二、经营合法性</w:t>
            </w:r>
          </w:p>
        </w:tc>
        <w:tc>
          <w:tcPr>
            <w:tcW w:w="7184" w:type="dxa"/>
            <w:noWrap w:val="0"/>
            <w:vAlign w:val="center"/>
          </w:tcPr>
          <w:p w14:paraId="57BD324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bCs/>
                <w:color w:val="auto"/>
                <w:kern w:val="0"/>
                <w:sz w:val="22"/>
                <w:szCs w:val="22"/>
                <w:lang w:val="en-US" w:eastAsia="zh-CN" w:bidi="ar"/>
              </w:rPr>
            </w:pPr>
            <w:r>
              <w:rPr>
                <w:rFonts w:hint="eastAsia" w:ascii="宋体" w:hAnsi="宋体" w:eastAsia="宋体" w:cs="宋体"/>
                <w:bCs/>
                <w:sz w:val="22"/>
                <w:szCs w:val="22"/>
                <w:lang w:val="en-US" w:eastAsia="zh-CN"/>
              </w:rPr>
              <w:t>应坐落于《养殖水域滩涂规划》划定的养殖区、限养区内。</w:t>
            </w:r>
            <w:r>
              <w:rPr>
                <w:rFonts w:hint="eastAsia" w:ascii="宋体" w:hAnsi="宋体" w:eastAsia="宋体" w:cs="宋体"/>
                <w:sz w:val="22"/>
                <w:szCs w:val="22"/>
              </w:rPr>
              <w:t>经营者应持有效《水域滩涂养殖证》，或可证明其水域滩涂承包经营权、使用权的其他权证和承包合同。苗种繁育企业要遵守相关规定（如《水产苗种管理办法》）</w:t>
            </w:r>
            <w:r>
              <w:rPr>
                <w:rFonts w:hint="eastAsia" w:ascii="宋体" w:hAnsi="宋体" w:eastAsia="宋体" w:cs="宋体"/>
                <w:sz w:val="22"/>
                <w:szCs w:val="22"/>
                <w:lang w:eastAsia="zh-CN"/>
              </w:rPr>
              <w:t>。</w:t>
            </w:r>
          </w:p>
        </w:tc>
      </w:tr>
      <w:tr w14:paraId="26A6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834" w:type="dxa"/>
            <w:noWrap w:val="0"/>
            <w:vAlign w:val="center"/>
          </w:tcPr>
          <w:p w14:paraId="7B9F78B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三、质量安全性</w:t>
            </w:r>
          </w:p>
        </w:tc>
        <w:tc>
          <w:tcPr>
            <w:tcW w:w="7184" w:type="dxa"/>
            <w:noWrap w:val="0"/>
            <w:vAlign w:val="center"/>
          </w:tcPr>
          <w:p w14:paraId="662BA25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bCs/>
                <w:sz w:val="22"/>
                <w:szCs w:val="22"/>
                <w:lang w:val="en-US" w:eastAsia="zh-CN"/>
              </w:rPr>
            </w:pPr>
            <w:r>
              <w:rPr>
                <w:rFonts w:hint="eastAsia" w:ascii="宋体" w:hAnsi="宋体" w:eastAsia="宋体" w:cs="宋体"/>
                <w:sz w:val="22"/>
                <w:szCs w:val="22"/>
              </w:rPr>
              <w:t>周边无工业污染源，近5年（含申报年度）未发生重大污染事故或重大生态环境破坏事件</w:t>
            </w:r>
            <w:r>
              <w:rPr>
                <w:rFonts w:hint="eastAsia" w:ascii="宋体" w:hAnsi="宋体" w:eastAsia="宋体" w:cs="宋体"/>
                <w:sz w:val="22"/>
                <w:szCs w:val="22"/>
                <w:lang w:eastAsia="zh-CN"/>
              </w:rPr>
              <w:t>。</w:t>
            </w:r>
            <w:r>
              <w:rPr>
                <w:rFonts w:hint="eastAsia" w:ascii="宋体" w:hAnsi="宋体" w:eastAsia="宋体" w:cs="宋体"/>
                <w:sz w:val="22"/>
                <w:szCs w:val="22"/>
              </w:rPr>
              <w:t>近5年（含申报年度）产地水产品兽药残留监测合格（未被抽检年份视同合格），无使用禁用、假、劣兽药及禁用投入品等违法行为</w:t>
            </w:r>
            <w:r>
              <w:rPr>
                <w:rFonts w:hint="eastAsia" w:ascii="宋体" w:hAnsi="宋体" w:eastAsia="宋体" w:cs="宋体"/>
                <w:sz w:val="22"/>
                <w:szCs w:val="22"/>
                <w:lang w:eastAsia="zh-CN"/>
              </w:rPr>
              <w:t>。</w:t>
            </w:r>
          </w:p>
        </w:tc>
      </w:tr>
      <w:tr w14:paraId="7CA1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834" w:type="dxa"/>
            <w:noWrap w:val="0"/>
            <w:vAlign w:val="center"/>
          </w:tcPr>
          <w:p w14:paraId="13CCED4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四、养殖规模</w:t>
            </w:r>
          </w:p>
        </w:tc>
        <w:tc>
          <w:tcPr>
            <w:tcW w:w="7184" w:type="dxa"/>
            <w:noWrap w:val="0"/>
            <w:vAlign w:val="center"/>
          </w:tcPr>
          <w:p w14:paraId="798D104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sz w:val="22"/>
                <w:szCs w:val="22"/>
                <w:lang w:eastAsia="zh-CN"/>
              </w:rPr>
            </w:pPr>
            <w:r>
              <w:rPr>
                <w:rFonts w:hint="eastAsia" w:ascii="宋体" w:hAnsi="宋体" w:eastAsia="宋体" w:cs="宋体"/>
                <w:sz w:val="22"/>
                <w:szCs w:val="22"/>
              </w:rPr>
              <w:t>池塘养殖类</w:t>
            </w:r>
            <w:r>
              <w:rPr>
                <w:rFonts w:hint="eastAsia" w:ascii="宋体" w:hAnsi="宋体" w:eastAsia="宋体" w:cs="宋体"/>
                <w:sz w:val="22"/>
                <w:szCs w:val="22"/>
                <w:lang w:eastAsia="zh-CN"/>
              </w:rPr>
              <w:t>，静水</w:t>
            </w:r>
            <w:r>
              <w:rPr>
                <w:rFonts w:hint="eastAsia" w:ascii="宋体" w:hAnsi="宋体" w:eastAsia="宋体" w:cs="宋体"/>
                <w:sz w:val="22"/>
                <w:szCs w:val="22"/>
              </w:rPr>
              <w:t>池塘养殖面积</w:t>
            </w:r>
            <w:r>
              <w:rPr>
                <w:rFonts w:hint="eastAsia" w:ascii="宋体" w:hAnsi="宋体" w:eastAsia="宋体" w:cs="宋体"/>
                <w:sz w:val="22"/>
                <w:szCs w:val="22"/>
                <w:lang w:val="en-US" w:eastAsia="zh-CN"/>
              </w:rPr>
              <w:t>10</w:t>
            </w:r>
            <w:r>
              <w:rPr>
                <w:rFonts w:hint="eastAsia" w:ascii="宋体" w:hAnsi="宋体" w:eastAsia="宋体" w:cs="宋体"/>
                <w:sz w:val="22"/>
                <w:szCs w:val="22"/>
              </w:rPr>
              <w:t>0亩（含）以上</w:t>
            </w:r>
            <w:r>
              <w:rPr>
                <w:rFonts w:hint="eastAsia" w:ascii="宋体" w:hAnsi="宋体" w:eastAsia="宋体" w:cs="宋体"/>
                <w:sz w:val="22"/>
                <w:szCs w:val="22"/>
                <w:lang w:eastAsia="zh-CN"/>
              </w:rPr>
              <w:t>，流水</w:t>
            </w:r>
            <w:r>
              <w:rPr>
                <w:rFonts w:hint="eastAsia" w:ascii="宋体" w:hAnsi="宋体" w:eastAsia="宋体" w:cs="宋体"/>
                <w:sz w:val="22"/>
                <w:szCs w:val="22"/>
              </w:rPr>
              <w:t>池塘养殖面积</w:t>
            </w:r>
            <w:r>
              <w:rPr>
                <w:rFonts w:hint="eastAsia" w:ascii="宋体" w:hAnsi="宋体" w:eastAsia="宋体" w:cs="宋体"/>
                <w:sz w:val="22"/>
                <w:szCs w:val="22"/>
                <w:lang w:val="en-US" w:eastAsia="zh-CN"/>
              </w:rPr>
              <w:t>5</w:t>
            </w:r>
            <w:r>
              <w:rPr>
                <w:rFonts w:hint="eastAsia" w:ascii="宋体" w:hAnsi="宋体" w:eastAsia="宋体" w:cs="宋体"/>
                <w:sz w:val="22"/>
                <w:szCs w:val="22"/>
              </w:rPr>
              <w:t>亩（含）以上；工厂化养殖类</w:t>
            </w:r>
            <w:r>
              <w:rPr>
                <w:rFonts w:hint="eastAsia" w:ascii="宋体" w:hAnsi="宋体" w:eastAsia="宋体" w:cs="宋体"/>
                <w:sz w:val="22"/>
                <w:szCs w:val="22"/>
                <w:lang w:eastAsia="zh-CN"/>
              </w:rPr>
              <w:t>，养殖水体</w:t>
            </w:r>
            <w:r>
              <w:rPr>
                <w:rFonts w:hint="eastAsia" w:ascii="宋体" w:hAnsi="宋体" w:eastAsia="宋体" w:cs="宋体"/>
                <w:sz w:val="22"/>
                <w:szCs w:val="22"/>
                <w:lang w:val="en-US" w:eastAsia="zh-CN"/>
              </w:rPr>
              <w:t>1</w:t>
            </w:r>
            <w:r>
              <w:rPr>
                <w:rFonts w:hint="eastAsia" w:ascii="宋体" w:hAnsi="宋体" w:eastAsia="宋体" w:cs="宋体"/>
                <w:sz w:val="22"/>
                <w:szCs w:val="22"/>
              </w:rPr>
              <w:t>000M³（含）以上；</w:t>
            </w:r>
            <w:r>
              <w:rPr>
                <w:rFonts w:hint="eastAsia" w:ascii="宋体" w:hAnsi="宋体" w:eastAsia="宋体" w:cs="宋体"/>
                <w:sz w:val="22"/>
                <w:szCs w:val="22"/>
                <w:lang w:eastAsia="zh-CN"/>
              </w:rPr>
              <w:t>莲（稻）渔</w:t>
            </w:r>
            <w:r>
              <w:rPr>
                <w:rFonts w:hint="eastAsia" w:ascii="宋体" w:hAnsi="宋体" w:eastAsia="宋体" w:cs="宋体"/>
                <w:sz w:val="22"/>
                <w:szCs w:val="22"/>
              </w:rPr>
              <w:t>综合种养类，</w:t>
            </w:r>
            <w:r>
              <w:rPr>
                <w:rFonts w:hint="eastAsia" w:ascii="宋体" w:hAnsi="宋体" w:eastAsia="宋体" w:cs="宋体"/>
                <w:sz w:val="22"/>
                <w:szCs w:val="22"/>
                <w:lang w:eastAsia="zh-CN"/>
              </w:rPr>
              <w:t>养殖</w:t>
            </w:r>
            <w:r>
              <w:rPr>
                <w:rFonts w:hint="eastAsia" w:ascii="宋体" w:hAnsi="宋体" w:eastAsia="宋体" w:cs="宋体"/>
                <w:sz w:val="22"/>
                <w:szCs w:val="22"/>
              </w:rPr>
              <w:t>面积</w:t>
            </w:r>
            <w:r>
              <w:rPr>
                <w:rFonts w:hint="eastAsia" w:ascii="宋体" w:hAnsi="宋体" w:eastAsia="宋体" w:cs="宋体"/>
                <w:sz w:val="22"/>
                <w:szCs w:val="22"/>
                <w:lang w:val="en-US" w:eastAsia="zh-CN"/>
              </w:rPr>
              <w:t>5</w:t>
            </w:r>
            <w:r>
              <w:rPr>
                <w:rFonts w:hint="eastAsia" w:ascii="宋体" w:hAnsi="宋体" w:eastAsia="宋体" w:cs="宋体"/>
                <w:sz w:val="22"/>
                <w:szCs w:val="22"/>
              </w:rPr>
              <w:t>00亩（含）以上</w:t>
            </w:r>
            <w:r>
              <w:rPr>
                <w:rFonts w:hint="eastAsia" w:ascii="宋体" w:hAnsi="宋体" w:eastAsia="宋体" w:cs="宋体"/>
                <w:sz w:val="22"/>
                <w:szCs w:val="22"/>
                <w:lang w:eastAsia="zh-CN"/>
              </w:rPr>
              <w:t>。</w:t>
            </w:r>
          </w:p>
        </w:tc>
      </w:tr>
      <w:tr w14:paraId="4909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834" w:type="dxa"/>
            <w:noWrap w:val="0"/>
            <w:vAlign w:val="center"/>
          </w:tcPr>
          <w:p w14:paraId="2B0C2AC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五、技术要素</w:t>
            </w:r>
          </w:p>
          <w:p w14:paraId="1963CE2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完整性</w:t>
            </w:r>
          </w:p>
        </w:tc>
        <w:tc>
          <w:tcPr>
            <w:tcW w:w="7184" w:type="dxa"/>
            <w:noWrap w:val="0"/>
            <w:vAlign w:val="center"/>
          </w:tcPr>
          <w:p w14:paraId="52F091C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具有合理的水产养殖模式（技术方案）、苗种管理制度（来源及检疫证明等）、饲料管理制度（来源及资质证明等）、用药减量措施（用药记录）、运行正常的尾水处理设施设备等。</w:t>
            </w:r>
          </w:p>
        </w:tc>
      </w:tr>
      <w:tr w14:paraId="022F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834" w:type="dxa"/>
            <w:noWrap w:val="0"/>
            <w:vAlign w:val="center"/>
          </w:tcPr>
          <w:p w14:paraId="5EB3D2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六、示范引领</w:t>
            </w:r>
          </w:p>
          <w:p w14:paraId="45F6AA9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Cs/>
                <w:color w:val="auto"/>
                <w:kern w:val="0"/>
                <w:sz w:val="22"/>
                <w:szCs w:val="22"/>
                <w:lang w:val="en-US" w:eastAsia="zh-CN" w:bidi="ar"/>
              </w:rPr>
            </w:pPr>
            <w:r>
              <w:rPr>
                <w:rFonts w:hint="eastAsia" w:ascii="宋体" w:hAnsi="宋体" w:eastAsia="宋体" w:cs="宋体"/>
                <w:sz w:val="22"/>
                <w:szCs w:val="22"/>
                <w:lang w:val="en-US" w:eastAsia="zh-CN"/>
              </w:rPr>
              <w:t>和支持服务</w:t>
            </w:r>
          </w:p>
        </w:tc>
        <w:tc>
          <w:tcPr>
            <w:tcW w:w="7184" w:type="dxa"/>
            <w:noWrap w:val="0"/>
            <w:vAlign w:val="center"/>
          </w:tcPr>
          <w:p w14:paraId="316E55D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bCs/>
                <w:sz w:val="22"/>
                <w:szCs w:val="22"/>
                <w:lang w:val="en-US" w:eastAsia="zh-CN"/>
              </w:rPr>
              <w:t>积极配合当地渔业部门和技术推广部门开展水产新技术推广应用示范，在当地开展技术指导、生产服务的情况。</w:t>
            </w:r>
          </w:p>
        </w:tc>
      </w:tr>
    </w:tbl>
    <w:p w14:paraId="7F27BB4C">
      <w:pPr>
        <w:keepNext w:val="0"/>
        <w:keepLines w:val="0"/>
        <w:pageBreakBefore w:val="0"/>
        <w:widowControl w:val="0"/>
        <w:kinsoku/>
        <w:wordWrap/>
        <w:overflowPunct/>
        <w:topLinePunct w:val="0"/>
        <w:autoSpaceDE w:val="0"/>
        <w:autoSpaceDN w:val="0"/>
        <w:bidi w:val="0"/>
        <w:adjustRightInd/>
        <w:snapToGrid/>
        <w:spacing w:line="480" w:lineRule="exact"/>
        <w:ind w:left="960" w:leftChars="0" w:hanging="960" w:hanging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说明：1.本表的前五项均为一票否决项，有一项及以上不符合条件将取消其申报资格。</w:t>
      </w:r>
    </w:p>
    <w:p w14:paraId="5B88FDCE">
      <w:pPr>
        <w:keepNext w:val="0"/>
        <w:keepLines w:val="0"/>
        <w:pageBreakBefore w:val="0"/>
        <w:widowControl w:val="0"/>
        <w:kinsoku/>
        <w:wordWrap/>
        <w:overflowPunct/>
        <w:topLinePunct w:val="0"/>
        <w:autoSpaceDE w:val="0"/>
        <w:autoSpaceDN w:val="0"/>
        <w:bidi w:val="0"/>
        <w:adjustRightInd/>
        <w:snapToGrid/>
        <w:spacing w:line="480" w:lineRule="exact"/>
        <w:ind w:left="968" w:leftChars="341" w:hanging="252" w:hangingChars="105"/>
        <w:textAlignment w:val="auto"/>
        <w:rPr>
          <w:rFonts w:hint="eastAsia" w:ascii="宋体" w:hAnsi="宋体" w:eastAsia="宋体" w:cs="宋体"/>
          <w:bCs/>
          <w:color w:val="auto"/>
          <w:spacing w:val="6"/>
          <w:kern w:val="0"/>
          <w:sz w:val="24"/>
          <w:szCs w:val="24"/>
          <w:lang w:val="en-US" w:eastAsia="zh-CN" w:bidi="ar"/>
        </w:rPr>
      </w:pPr>
      <w:r>
        <w:rPr>
          <w:rFonts w:hint="eastAsia" w:ascii="宋体" w:hAnsi="宋体" w:eastAsia="宋体" w:cs="宋体"/>
          <w:sz w:val="24"/>
          <w:szCs w:val="24"/>
          <w:lang w:val="en-US" w:eastAsia="zh-CN"/>
        </w:rPr>
        <w:t>2.</w:t>
      </w:r>
      <w:r>
        <w:rPr>
          <w:rFonts w:hint="eastAsia" w:ascii="宋体" w:hAnsi="宋体" w:eastAsia="宋体" w:cs="宋体"/>
          <w:spacing w:val="6"/>
          <w:sz w:val="24"/>
          <w:szCs w:val="24"/>
          <w:lang w:val="en-US" w:eastAsia="zh-CN"/>
        </w:rPr>
        <w:t xml:space="preserve">申报单位还需准备相应的印证材料，包括但不限于项目可行性研究、初步设计、实施方案及相关附件（如水产苗种生产许可证、水域滩涂养殖证等佐证材料）。同时，申报单位应确保所有信息的真实性和准确性，如有违规行为，将取消其申报资格。 </w:t>
      </w:r>
    </w:p>
    <w:p w14:paraId="3F8C3CEB">
      <w:pPr>
        <w:widowControl/>
        <w:spacing w:line="520" w:lineRule="exact"/>
        <w:jc w:val="left"/>
        <w:rPr>
          <w:rFonts w:ascii="仿宋_GB2312" w:hAnsi="仿宋_GB2312" w:eastAsia="仿宋_GB2312" w:cs="仿宋_GB2312"/>
          <w:color w:val="000000"/>
          <w:sz w:val="32"/>
          <w:szCs w:val="32"/>
        </w:rPr>
      </w:pPr>
      <w:bookmarkStart w:id="0" w:name="_GoBack"/>
      <w:bookmarkEnd w:id="0"/>
    </w:p>
    <w:sectPr>
      <w:footerReference r:id="rId3" w:type="default"/>
      <w:footerReference r:id="rId4" w:type="even"/>
      <w:pgSz w:w="11906" w:h="16838"/>
      <w:pgMar w:top="1440" w:right="1576"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60169">
    <w:pPr>
      <w:pStyle w:val="6"/>
      <w:jc w:val="center"/>
      <w:rPr>
        <w:rFonts w:ascii="宋体" w:hAnsi="宋体" w:eastAsia="宋体"/>
        <w:sz w:val="28"/>
        <w:szCs w:val="28"/>
      </w:rPr>
    </w:pPr>
  </w:p>
  <w:p w14:paraId="4CBDB4A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89C29">
    <w:pPr>
      <w:pStyle w:val="6"/>
      <w:rPr>
        <w:rFonts w:ascii="宋体" w:hAnsi="宋体" w:eastAsia="宋体"/>
        <w:sz w:val="28"/>
        <w:szCs w:val="28"/>
      </w:rPr>
    </w:pPr>
  </w:p>
  <w:p w14:paraId="39B0185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27F66F2"/>
    <w:rsid w:val="00110BFC"/>
    <w:rsid w:val="001C1C3F"/>
    <w:rsid w:val="001E22D8"/>
    <w:rsid w:val="00200B0A"/>
    <w:rsid w:val="00216675"/>
    <w:rsid w:val="00227E14"/>
    <w:rsid w:val="00241FFB"/>
    <w:rsid w:val="00255EA1"/>
    <w:rsid w:val="00264558"/>
    <w:rsid w:val="00297B57"/>
    <w:rsid w:val="00456CF8"/>
    <w:rsid w:val="0049719F"/>
    <w:rsid w:val="0053722B"/>
    <w:rsid w:val="00612914"/>
    <w:rsid w:val="00666780"/>
    <w:rsid w:val="00696E28"/>
    <w:rsid w:val="006B6F89"/>
    <w:rsid w:val="00720269"/>
    <w:rsid w:val="007C4580"/>
    <w:rsid w:val="007E2D98"/>
    <w:rsid w:val="00850FC4"/>
    <w:rsid w:val="008D7F05"/>
    <w:rsid w:val="008F14E0"/>
    <w:rsid w:val="00A22C1C"/>
    <w:rsid w:val="00A8136F"/>
    <w:rsid w:val="00A972D3"/>
    <w:rsid w:val="00C46CAC"/>
    <w:rsid w:val="00CC6B43"/>
    <w:rsid w:val="00CF1DE1"/>
    <w:rsid w:val="00D90664"/>
    <w:rsid w:val="00DB69DF"/>
    <w:rsid w:val="00E0798F"/>
    <w:rsid w:val="00E20D9B"/>
    <w:rsid w:val="00F12310"/>
    <w:rsid w:val="00F67D05"/>
    <w:rsid w:val="00FC1A26"/>
    <w:rsid w:val="00FE2A93"/>
    <w:rsid w:val="00FE2D60"/>
    <w:rsid w:val="06080383"/>
    <w:rsid w:val="07D77527"/>
    <w:rsid w:val="0B0328C0"/>
    <w:rsid w:val="0CF253AB"/>
    <w:rsid w:val="127F66F2"/>
    <w:rsid w:val="136F27CE"/>
    <w:rsid w:val="1394540D"/>
    <w:rsid w:val="14375418"/>
    <w:rsid w:val="161D0FDC"/>
    <w:rsid w:val="17E1751B"/>
    <w:rsid w:val="1E1E756F"/>
    <w:rsid w:val="21E107FB"/>
    <w:rsid w:val="26320F6A"/>
    <w:rsid w:val="2A42322C"/>
    <w:rsid w:val="2AE14A47"/>
    <w:rsid w:val="2FE14E9F"/>
    <w:rsid w:val="326A0F46"/>
    <w:rsid w:val="336E7D2B"/>
    <w:rsid w:val="33FF885F"/>
    <w:rsid w:val="36F5C19F"/>
    <w:rsid w:val="37DF17B2"/>
    <w:rsid w:val="383D313C"/>
    <w:rsid w:val="38D86432"/>
    <w:rsid w:val="39BD1DE6"/>
    <w:rsid w:val="3B572957"/>
    <w:rsid w:val="3B5F2F62"/>
    <w:rsid w:val="3D6A561C"/>
    <w:rsid w:val="3DF73661"/>
    <w:rsid w:val="3EDD3100"/>
    <w:rsid w:val="3F3EB54D"/>
    <w:rsid w:val="3FAC1714"/>
    <w:rsid w:val="3FBBA50F"/>
    <w:rsid w:val="46606BBE"/>
    <w:rsid w:val="466E65E1"/>
    <w:rsid w:val="499679E4"/>
    <w:rsid w:val="4A466166"/>
    <w:rsid w:val="4B6B281B"/>
    <w:rsid w:val="4FAC481D"/>
    <w:rsid w:val="4FAEC8C4"/>
    <w:rsid w:val="4FFB8850"/>
    <w:rsid w:val="5A2E5ED2"/>
    <w:rsid w:val="5AFDC8FF"/>
    <w:rsid w:val="5BF28A49"/>
    <w:rsid w:val="5E585D13"/>
    <w:rsid w:val="5E715481"/>
    <w:rsid w:val="5EED6DBE"/>
    <w:rsid w:val="66FC6014"/>
    <w:rsid w:val="680F109D"/>
    <w:rsid w:val="695D79A1"/>
    <w:rsid w:val="6BBF849A"/>
    <w:rsid w:val="6BED7334"/>
    <w:rsid w:val="6BFF453F"/>
    <w:rsid w:val="6BFF4972"/>
    <w:rsid w:val="6C791FCD"/>
    <w:rsid w:val="6DCC1F86"/>
    <w:rsid w:val="6E6FB00A"/>
    <w:rsid w:val="6FDDF9D7"/>
    <w:rsid w:val="6FDE60C1"/>
    <w:rsid w:val="6FF59F1C"/>
    <w:rsid w:val="72AF2F29"/>
    <w:rsid w:val="76FD3493"/>
    <w:rsid w:val="771F385E"/>
    <w:rsid w:val="777BBD3B"/>
    <w:rsid w:val="77A73311"/>
    <w:rsid w:val="77BB29D9"/>
    <w:rsid w:val="77C657C3"/>
    <w:rsid w:val="77D5D517"/>
    <w:rsid w:val="78264B82"/>
    <w:rsid w:val="79FD27F9"/>
    <w:rsid w:val="7B616707"/>
    <w:rsid w:val="7B74AD5E"/>
    <w:rsid w:val="7BFED32F"/>
    <w:rsid w:val="7C7F4A9B"/>
    <w:rsid w:val="7CF135D7"/>
    <w:rsid w:val="7D5FE50C"/>
    <w:rsid w:val="7DFAA0E0"/>
    <w:rsid w:val="7DFBA707"/>
    <w:rsid w:val="7E5D0822"/>
    <w:rsid w:val="7E5F5FB3"/>
    <w:rsid w:val="7EB9E81F"/>
    <w:rsid w:val="7EFF851A"/>
    <w:rsid w:val="7FAE2436"/>
    <w:rsid w:val="7FDFA5D0"/>
    <w:rsid w:val="7FEF6D48"/>
    <w:rsid w:val="9FDF162E"/>
    <w:rsid w:val="9FFF4D48"/>
    <w:rsid w:val="A4FEA137"/>
    <w:rsid w:val="AEDF90CB"/>
    <w:rsid w:val="AFFFD416"/>
    <w:rsid w:val="B2ED12E2"/>
    <w:rsid w:val="BCBF2BD0"/>
    <w:rsid w:val="BDBF2975"/>
    <w:rsid w:val="BE6B17D3"/>
    <w:rsid w:val="BEB59D2F"/>
    <w:rsid w:val="BEEBBFA3"/>
    <w:rsid w:val="BEFD2DCD"/>
    <w:rsid w:val="BF1B7053"/>
    <w:rsid w:val="BFF9D0A5"/>
    <w:rsid w:val="DBFF32F4"/>
    <w:rsid w:val="DBFF6A91"/>
    <w:rsid w:val="DDB950B0"/>
    <w:rsid w:val="DDBBCCD6"/>
    <w:rsid w:val="DE4ED4AB"/>
    <w:rsid w:val="DF7DE0AB"/>
    <w:rsid w:val="DFFF2FB7"/>
    <w:rsid w:val="E5308035"/>
    <w:rsid w:val="E5F3A850"/>
    <w:rsid w:val="EF7FD386"/>
    <w:rsid w:val="F5DFE3A8"/>
    <w:rsid w:val="F6D745AE"/>
    <w:rsid w:val="F7B50123"/>
    <w:rsid w:val="F8FF144A"/>
    <w:rsid w:val="F969835A"/>
    <w:rsid w:val="F9F73F05"/>
    <w:rsid w:val="FA6DA67F"/>
    <w:rsid w:val="FB7DF937"/>
    <w:rsid w:val="FBDF3153"/>
    <w:rsid w:val="FBED2E4B"/>
    <w:rsid w:val="FCB35D57"/>
    <w:rsid w:val="FDBE5611"/>
    <w:rsid w:val="FDF54DCA"/>
    <w:rsid w:val="FE9B3CC5"/>
    <w:rsid w:val="FEBE7154"/>
    <w:rsid w:val="FECEA1C7"/>
    <w:rsid w:val="FFB78EF6"/>
    <w:rsid w:val="FFC9F0F5"/>
    <w:rsid w:val="FFDB2CEF"/>
    <w:rsid w:val="FFDE7AAC"/>
    <w:rsid w:val="FFDFCA20"/>
    <w:rsid w:val="FFFF6431"/>
    <w:rsid w:val="FFFF7ED6"/>
    <w:rsid w:val="FFFFE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next w:val="1"/>
    <w:qFormat/>
    <w:uiPriority w:val="0"/>
    <w:pPr>
      <w:keepNext/>
      <w:keepLines/>
      <w:widowControl w:val="0"/>
      <w:spacing w:line="376" w:lineRule="auto"/>
      <w:jc w:val="both"/>
      <w:outlineLvl w:val="4"/>
    </w:pPr>
    <w:rPr>
      <w:rFonts w:ascii="Calibri" w:hAnsi="Calibri" w:eastAsia="宋体" w:cs="Times New Roman"/>
      <w:b/>
      <w:bCs/>
      <w:kern w:val="2"/>
      <w:sz w:val="28"/>
      <w:szCs w:val="28"/>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szCs w:val="24"/>
    </w:rPr>
  </w:style>
  <w:style w:type="paragraph" w:styleId="4">
    <w:name w:val="Body Text"/>
    <w:basedOn w:val="1"/>
    <w:next w:val="1"/>
    <w:qFormat/>
    <w:uiPriority w:val="0"/>
    <w:pPr>
      <w:adjustRightInd w:val="0"/>
      <w:snapToGrid w:val="0"/>
      <w:spacing w:line="360" w:lineRule="auto"/>
    </w:pPr>
    <w:rPr>
      <w:rFonts w:ascii="仿宋_GB2312" w:hAnsi="宋体" w:eastAsia="仿宋_GB2312"/>
      <w:bCs/>
      <w:sz w:val="32"/>
      <w:szCs w:val="32"/>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4"/>
    <w:next w:val="3"/>
    <w:qFormat/>
    <w:uiPriority w:val="0"/>
    <w:pPr>
      <w:ind w:firstLine="420" w:firstLineChars="100"/>
    </w:p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character" w:customStyle="1" w:styleId="14">
    <w:name w:val="页眉 Char"/>
    <w:basedOn w:val="12"/>
    <w:link w:val="7"/>
    <w:qFormat/>
    <w:uiPriority w:val="0"/>
    <w:rPr>
      <w:rFonts w:asciiTheme="minorHAnsi" w:hAnsiTheme="minorHAnsi" w:eastAsiaTheme="minorEastAsia" w:cstheme="minorBidi"/>
      <w:kern w:val="2"/>
      <w:sz w:val="18"/>
      <w:szCs w:val="18"/>
    </w:rPr>
  </w:style>
  <w:style w:type="character" w:customStyle="1" w:styleId="15">
    <w:name w:val="页脚 Char"/>
    <w:basedOn w:val="12"/>
    <w:link w:val="6"/>
    <w:qFormat/>
    <w:uiPriority w:val="99"/>
    <w:rPr>
      <w:rFonts w:asciiTheme="minorHAnsi" w:hAnsiTheme="minorHAnsi" w:eastAsiaTheme="minorEastAsia" w:cstheme="minorBidi"/>
      <w:kern w:val="2"/>
      <w:sz w:val="18"/>
      <w:szCs w:val="18"/>
    </w:rPr>
  </w:style>
  <w:style w:type="character" w:customStyle="1" w:styleId="16">
    <w:name w:val="批注框文本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10C6A5D0-3FAE-41F9-9E5D-971D8A829434}">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7</Pages>
  <Words>8</Words>
  <Characters>11</Characters>
  <Lines>1</Lines>
  <Paragraphs>1</Paragraphs>
  <TotalTime>13</TotalTime>
  <ScaleCrop>false</ScaleCrop>
  <LinksUpToDate>false</LinksUpToDate>
  <CharactersWithSpaces>50</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2019-01-15T16:38:00Z</dcterms:created>
  <dc:creator>lenovo</dc:creator>
  <cp:lastModifiedBy>HAUWEI</cp:lastModifiedBy>
  <cp:lastPrinted>2025-06-14T13:28:00Z</cp:lastPrinted>
  <dcterms:modified xsi:type="dcterms:W3CDTF">2025-06-16T11:24:00Z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AB6824085A0043169F1ADA2F6F5BF26E</vt:lpwstr>
  </property>
</Properties>
</file>