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1076B">
      <w:pPr>
        <w:widowControl/>
        <w:adjustRightInd/>
        <w:snapToGrid/>
        <w:spacing w:line="240" w:lineRule="auto"/>
        <w:ind w:firstLine="0" w:firstLineChars="0"/>
        <w:jc w:val="left"/>
      </w:pPr>
    </w:p>
    <w:p w14:paraId="3F9E6116">
      <w:pPr>
        <w:widowControl/>
        <w:adjustRightInd/>
        <w:snapToGrid/>
        <w:spacing w:line="240" w:lineRule="auto"/>
        <w:ind w:firstLine="0" w:firstLineChars="0"/>
        <w:jc w:val="center"/>
      </w:pPr>
    </w:p>
    <w:p w14:paraId="5330D117">
      <w:pPr>
        <w:widowControl/>
        <w:adjustRightInd/>
        <w:snapToGrid/>
        <w:spacing w:line="240" w:lineRule="auto"/>
        <w:ind w:firstLine="0" w:firstLineChars="0"/>
        <w:jc w:val="center"/>
      </w:pPr>
    </w:p>
    <w:p w14:paraId="5956A845">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华文中宋" w:hAnsi="华文中宋" w:eastAsia="华文中宋" w:cs="等线 Light"/>
          <w:b/>
          <w:sz w:val="52"/>
          <w:szCs w:val="52"/>
        </w:rPr>
      </w:pPr>
      <w:r>
        <w:rPr>
          <w:rFonts w:hint="eastAsia" w:ascii="华文中宋" w:hAnsi="华文中宋" w:eastAsia="华文中宋" w:cs="等线 Light"/>
          <w:b/>
          <w:sz w:val="52"/>
          <w:szCs w:val="52"/>
          <w:lang w:val="en-US" w:eastAsia="zh-CN"/>
        </w:rPr>
        <w:t>泽州县</w:t>
      </w:r>
      <w:r>
        <w:rPr>
          <w:rFonts w:hint="eastAsia" w:ascii="华文中宋" w:hAnsi="华文中宋" w:eastAsia="华文中宋" w:cs="等线 Light"/>
          <w:b/>
          <w:sz w:val="52"/>
          <w:szCs w:val="52"/>
        </w:rPr>
        <w:t>水利基础设施空间布局规划</w:t>
      </w:r>
    </w:p>
    <w:p w14:paraId="3B6AE067">
      <w:pPr>
        <w:pStyle w:val="2"/>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eastAsia="华文中宋"/>
          <w:lang w:eastAsia="zh-CN"/>
        </w:rPr>
      </w:pPr>
      <w:r>
        <w:rPr>
          <w:rFonts w:hint="eastAsia" w:ascii="华文中宋" w:hAnsi="华文中宋" w:eastAsia="华文中宋" w:cs="等线 Light"/>
          <w:b/>
          <w:sz w:val="52"/>
          <w:szCs w:val="52"/>
          <w:lang w:eastAsia="zh-CN"/>
        </w:rPr>
        <w:t>（</w:t>
      </w:r>
      <w:r>
        <w:rPr>
          <w:rFonts w:hint="eastAsia" w:ascii="华文中宋" w:hAnsi="华文中宋" w:eastAsia="华文中宋" w:cs="等线 Light"/>
          <w:b/>
          <w:sz w:val="52"/>
          <w:szCs w:val="52"/>
          <w:lang w:val="en-US" w:eastAsia="zh-CN"/>
        </w:rPr>
        <w:t>征求意见稿</w:t>
      </w:r>
      <w:r>
        <w:rPr>
          <w:rFonts w:hint="eastAsia" w:ascii="华文中宋" w:hAnsi="华文中宋" w:eastAsia="华文中宋" w:cs="等线 Light"/>
          <w:b/>
          <w:sz w:val="52"/>
          <w:szCs w:val="52"/>
          <w:lang w:eastAsia="zh-CN"/>
        </w:rPr>
        <w:t>）</w:t>
      </w:r>
    </w:p>
    <w:p w14:paraId="52D70CF8">
      <w:pPr>
        <w:widowControl/>
        <w:adjustRightInd/>
        <w:snapToGrid/>
        <w:spacing w:beforeLines="150" w:line="240" w:lineRule="auto"/>
        <w:ind w:firstLine="0" w:firstLineChars="0"/>
        <w:jc w:val="center"/>
        <w:rPr>
          <w:b/>
          <w:bCs/>
          <w:sz w:val="36"/>
          <w:szCs w:val="36"/>
        </w:rPr>
      </w:pPr>
    </w:p>
    <w:p w14:paraId="27B81E94">
      <w:pPr>
        <w:widowControl/>
        <w:adjustRightInd/>
        <w:snapToGrid/>
        <w:spacing w:line="240" w:lineRule="auto"/>
        <w:ind w:firstLine="0" w:firstLineChars="0"/>
        <w:jc w:val="center"/>
      </w:pPr>
    </w:p>
    <w:p w14:paraId="714AD073">
      <w:pPr>
        <w:widowControl/>
        <w:adjustRightInd/>
        <w:snapToGrid/>
        <w:spacing w:line="240" w:lineRule="auto"/>
        <w:ind w:firstLine="0" w:firstLineChars="0"/>
        <w:jc w:val="center"/>
      </w:pPr>
    </w:p>
    <w:p w14:paraId="07B52A72">
      <w:pPr>
        <w:widowControl/>
        <w:adjustRightInd/>
        <w:snapToGrid/>
        <w:spacing w:line="240" w:lineRule="auto"/>
        <w:ind w:firstLine="0" w:firstLineChars="0"/>
        <w:jc w:val="center"/>
      </w:pPr>
    </w:p>
    <w:p w14:paraId="116AA9B9">
      <w:pPr>
        <w:widowControl/>
        <w:adjustRightInd/>
        <w:snapToGrid/>
        <w:spacing w:line="240" w:lineRule="auto"/>
        <w:ind w:firstLine="0" w:firstLineChars="0"/>
        <w:jc w:val="center"/>
        <w:rPr>
          <w:rFonts w:hint="default" w:eastAsia="仿宋"/>
          <w:lang w:val="en-US" w:eastAsia="zh-CN"/>
        </w:rPr>
      </w:pPr>
    </w:p>
    <w:p w14:paraId="60DEAF6C">
      <w:pPr>
        <w:widowControl/>
        <w:adjustRightInd/>
        <w:snapToGrid/>
        <w:spacing w:line="240" w:lineRule="auto"/>
        <w:ind w:firstLine="0" w:firstLineChars="0"/>
        <w:jc w:val="center"/>
      </w:pPr>
    </w:p>
    <w:p w14:paraId="2DE295C6">
      <w:pPr>
        <w:widowControl/>
        <w:adjustRightInd/>
        <w:snapToGrid/>
        <w:spacing w:line="240" w:lineRule="auto"/>
        <w:ind w:firstLine="0" w:firstLineChars="0"/>
        <w:jc w:val="center"/>
      </w:pPr>
    </w:p>
    <w:p w14:paraId="7B82F512">
      <w:pPr>
        <w:widowControl/>
        <w:adjustRightInd/>
        <w:snapToGrid/>
        <w:spacing w:line="240" w:lineRule="auto"/>
        <w:ind w:firstLine="0" w:firstLineChars="0"/>
        <w:jc w:val="center"/>
      </w:pPr>
    </w:p>
    <w:p w14:paraId="03DC2D10">
      <w:pPr>
        <w:widowControl/>
        <w:adjustRightInd/>
        <w:snapToGrid/>
        <w:spacing w:line="240" w:lineRule="auto"/>
        <w:ind w:firstLine="0" w:firstLineChars="0"/>
        <w:jc w:val="center"/>
      </w:pPr>
    </w:p>
    <w:p w14:paraId="3660765D">
      <w:pPr>
        <w:widowControl/>
        <w:adjustRightInd/>
        <w:snapToGrid/>
        <w:spacing w:line="240" w:lineRule="auto"/>
        <w:ind w:firstLine="0" w:firstLineChars="0"/>
        <w:jc w:val="center"/>
      </w:pPr>
    </w:p>
    <w:p w14:paraId="66401C53">
      <w:pPr>
        <w:widowControl/>
        <w:adjustRightInd/>
        <w:snapToGrid/>
        <w:spacing w:line="240" w:lineRule="auto"/>
        <w:ind w:firstLine="0" w:firstLineChars="0"/>
        <w:jc w:val="center"/>
      </w:pPr>
    </w:p>
    <w:p w14:paraId="396DF787">
      <w:pPr>
        <w:widowControl/>
        <w:adjustRightInd/>
        <w:snapToGrid/>
        <w:spacing w:line="240" w:lineRule="auto"/>
        <w:ind w:firstLine="0" w:firstLineChars="0"/>
        <w:jc w:val="center"/>
      </w:pPr>
    </w:p>
    <w:p w14:paraId="02B3AD63">
      <w:pPr>
        <w:widowControl/>
        <w:adjustRightInd/>
        <w:snapToGrid/>
        <w:spacing w:line="240" w:lineRule="auto"/>
        <w:ind w:firstLine="0" w:firstLineChars="0"/>
        <w:jc w:val="center"/>
      </w:pPr>
    </w:p>
    <w:p w14:paraId="4B211E92">
      <w:pPr>
        <w:widowControl/>
        <w:adjustRightInd/>
        <w:snapToGrid/>
        <w:spacing w:line="240" w:lineRule="auto"/>
        <w:ind w:firstLine="0" w:firstLineChars="0"/>
        <w:jc w:val="center"/>
      </w:pPr>
    </w:p>
    <w:p w14:paraId="51E5F1B8">
      <w:pPr>
        <w:widowControl/>
        <w:adjustRightInd/>
        <w:snapToGrid/>
        <w:spacing w:line="240" w:lineRule="auto"/>
        <w:ind w:firstLine="0" w:firstLineChars="0"/>
        <w:jc w:val="center"/>
      </w:pPr>
    </w:p>
    <w:p w14:paraId="1B18EA08">
      <w:pPr>
        <w:widowControl/>
        <w:adjustRightInd/>
        <w:snapToGrid/>
        <w:spacing w:line="240" w:lineRule="auto"/>
        <w:ind w:firstLine="0" w:firstLineChars="0"/>
        <w:jc w:val="center"/>
      </w:pPr>
    </w:p>
    <w:p w14:paraId="3361CFFD">
      <w:pPr>
        <w:widowControl/>
        <w:adjustRightInd/>
        <w:snapToGrid/>
        <w:spacing w:line="240" w:lineRule="auto"/>
        <w:ind w:firstLine="0" w:firstLineChars="0"/>
        <w:jc w:val="center"/>
      </w:pPr>
    </w:p>
    <w:p w14:paraId="34266D9A">
      <w:pPr>
        <w:widowControl/>
        <w:adjustRightInd/>
        <w:snapToGrid/>
        <w:spacing w:line="240" w:lineRule="auto"/>
        <w:ind w:firstLine="0" w:firstLineChars="0"/>
        <w:jc w:val="center"/>
      </w:pPr>
    </w:p>
    <w:p w14:paraId="0D7EFD3B">
      <w:pPr>
        <w:widowControl/>
        <w:adjustRightInd/>
        <w:snapToGrid/>
        <w:spacing w:line="240" w:lineRule="auto"/>
        <w:ind w:firstLine="0" w:firstLineChars="0"/>
        <w:jc w:val="center"/>
      </w:pPr>
    </w:p>
    <w:p w14:paraId="56648E47">
      <w:pPr>
        <w:widowControl/>
        <w:adjustRightInd/>
        <w:snapToGrid/>
        <w:spacing w:line="240" w:lineRule="auto"/>
        <w:ind w:firstLine="0" w:firstLineChars="0"/>
        <w:jc w:val="center"/>
      </w:pPr>
    </w:p>
    <w:p w14:paraId="4E5F353C">
      <w:pPr>
        <w:widowControl/>
        <w:adjustRightInd/>
        <w:snapToGrid/>
        <w:spacing w:line="240" w:lineRule="auto"/>
        <w:ind w:firstLine="0" w:firstLineChars="0"/>
        <w:jc w:val="center"/>
      </w:pPr>
    </w:p>
    <w:p w14:paraId="7FBD5818">
      <w:pPr>
        <w:widowControl/>
        <w:adjustRightInd/>
        <w:snapToGrid/>
        <w:spacing w:line="360" w:lineRule="auto"/>
        <w:ind w:firstLine="0" w:firstLineChars="0"/>
        <w:jc w:val="center"/>
      </w:pPr>
    </w:p>
    <w:p w14:paraId="68E29181">
      <w:pPr>
        <w:widowControl/>
        <w:adjustRightInd/>
        <w:snapToGrid/>
        <w:spacing w:line="360" w:lineRule="auto"/>
        <w:ind w:firstLine="0" w:firstLineChars="0"/>
        <w:jc w:val="center"/>
        <w:rPr>
          <w:rFonts w:ascii="华文中宋" w:hAnsi="华文中宋" w:eastAsia="华文中宋"/>
          <w:b/>
          <w:szCs w:val="32"/>
        </w:rPr>
      </w:pPr>
      <w:r>
        <w:rPr>
          <w:rFonts w:hint="eastAsia" w:ascii="华文中宋" w:hAnsi="华文中宋" w:eastAsia="华文中宋"/>
          <w:b/>
          <w:szCs w:val="32"/>
          <w:lang w:eastAsia="zh-CN"/>
        </w:rPr>
        <w:t>晋城市水利勘测设计院</w:t>
      </w:r>
    </w:p>
    <w:p w14:paraId="61751119">
      <w:pPr>
        <w:widowControl/>
        <w:adjustRightInd/>
        <w:snapToGrid/>
        <w:spacing w:line="360" w:lineRule="auto"/>
        <w:ind w:firstLine="0" w:firstLineChars="0"/>
        <w:jc w:val="center"/>
        <w:rPr>
          <w:rFonts w:ascii="华文中宋" w:hAnsi="华文中宋" w:eastAsia="华文中宋"/>
          <w:b/>
        </w:rPr>
      </w:pPr>
      <w:r>
        <w:rPr>
          <w:rFonts w:hint="eastAsia" w:ascii="华文中宋" w:hAnsi="华文中宋" w:eastAsia="华文中宋"/>
          <w:b/>
        </w:rPr>
        <w:t>二〇二</w:t>
      </w:r>
      <w:r>
        <w:rPr>
          <w:rFonts w:hint="eastAsia" w:ascii="华文中宋" w:hAnsi="华文中宋" w:eastAsia="华文中宋"/>
          <w:b/>
          <w:lang w:val="en-US" w:eastAsia="zh-CN"/>
        </w:rPr>
        <w:t>四</w:t>
      </w:r>
      <w:r>
        <w:rPr>
          <w:rFonts w:hint="eastAsia" w:ascii="华文中宋" w:hAnsi="华文中宋" w:eastAsia="华文中宋"/>
          <w:b/>
        </w:rPr>
        <w:t>年</w:t>
      </w:r>
      <w:r>
        <w:rPr>
          <w:rFonts w:hint="eastAsia" w:ascii="华文中宋" w:hAnsi="华文中宋" w:eastAsia="华文中宋"/>
          <w:b/>
          <w:lang w:val="en-US" w:eastAsia="zh-CN"/>
        </w:rPr>
        <w:t>一</w:t>
      </w:r>
      <w:r>
        <w:rPr>
          <w:rFonts w:hint="eastAsia" w:ascii="华文中宋" w:hAnsi="华文中宋" w:eastAsia="华文中宋"/>
          <w:b/>
        </w:rPr>
        <w:t>月</w:t>
      </w:r>
    </w:p>
    <w:p w14:paraId="753489D5">
      <w:pPr>
        <w:widowControl/>
        <w:adjustRightInd/>
        <w:snapToGrid/>
        <w:spacing w:line="240" w:lineRule="auto"/>
        <w:ind w:firstLine="0" w:firstLineChars="0"/>
        <w:jc w:val="left"/>
      </w:pPr>
      <w:r>
        <w:br w:type="page"/>
      </w:r>
    </w:p>
    <w:p w14:paraId="0708F1AC">
      <w:pPr>
        <w:widowControl/>
        <w:adjustRightInd/>
        <w:snapToGrid/>
        <w:spacing w:line="240" w:lineRule="auto"/>
        <w:ind w:firstLine="0" w:firstLineChars="0"/>
        <w:jc w:val="center"/>
      </w:pPr>
    </w:p>
    <w:p w14:paraId="3F741EE7">
      <w:pPr>
        <w:widowControl/>
        <w:adjustRightInd/>
        <w:snapToGrid/>
        <w:spacing w:line="240" w:lineRule="auto"/>
        <w:ind w:firstLine="0" w:firstLineChars="0"/>
        <w:jc w:val="center"/>
      </w:pPr>
    </w:p>
    <w:p w14:paraId="7B3FDD65">
      <w:pPr>
        <w:widowControl/>
        <w:adjustRightInd/>
        <w:snapToGrid/>
        <w:spacing w:line="240" w:lineRule="auto"/>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5" w:h="16838"/>
          <w:pgMar w:top="1417" w:right="1587" w:bottom="1417" w:left="1587" w:header="851" w:footer="1020" w:gutter="0"/>
          <w:pgBorders>
            <w:top w:val="none" w:sz="0" w:space="0"/>
            <w:left w:val="none" w:sz="0" w:space="0"/>
            <w:bottom w:val="none" w:sz="0" w:space="0"/>
            <w:right w:val="none" w:sz="0" w:space="0"/>
          </w:pgBorders>
          <w:pgNumType w:start="1"/>
          <w:cols w:space="0" w:num="1"/>
          <w:rtlGutter w:val="0"/>
          <w:docGrid w:linePitch="326" w:charSpace="0"/>
        </w:sectPr>
      </w:pPr>
    </w:p>
    <w:p w14:paraId="665EE993">
      <w:pPr>
        <w:widowControl/>
        <w:adjustRightInd/>
        <w:snapToGrid/>
        <w:spacing w:line="240" w:lineRule="auto"/>
        <w:ind w:firstLine="0" w:firstLineChars="0"/>
        <w:jc w:val="left"/>
      </w:pPr>
    </w:p>
    <w:sdt>
      <w:sdtPr>
        <w:rPr>
          <w:rFonts w:ascii="宋体" w:hAnsi="宋体" w:eastAsia="宋体"/>
          <w:sz w:val="21"/>
        </w:rPr>
        <w:id w:val="147482540"/>
        <w:docPartObj>
          <w:docPartGallery w:val="Table of Contents"/>
          <w:docPartUnique/>
        </w:docPartObj>
      </w:sdtPr>
      <w:sdtEndPr>
        <w:rPr>
          <w:rFonts w:hint="eastAsia" w:ascii="Times New Roman" w:hAnsi="Times New Roman" w:eastAsia="仿宋"/>
          <w:b/>
          <w:sz w:val="28"/>
          <w:szCs w:val="28"/>
        </w:rPr>
      </w:sdtEndPr>
      <w:sdtContent>
        <w:p w14:paraId="40DD457D">
          <w:pPr>
            <w:widowControl/>
            <w:adjustRightInd/>
            <w:snapToGrid/>
            <w:spacing w:line="240" w:lineRule="auto"/>
            <w:ind w:firstLine="0" w:firstLineChars="0"/>
            <w:jc w:val="center"/>
            <w:rPr>
              <w:rFonts w:ascii="黑体" w:hAnsi="黑体" w:eastAsia="黑体"/>
              <w:sz w:val="36"/>
              <w:szCs w:val="36"/>
            </w:rPr>
          </w:pPr>
          <w:r>
            <w:rPr>
              <w:rFonts w:hint="eastAsia" w:ascii="黑体" w:hAnsi="黑体" w:eastAsia="黑体"/>
              <w:sz w:val="36"/>
              <w:szCs w:val="36"/>
            </w:rPr>
            <w:t>目录</w:t>
          </w:r>
        </w:p>
        <w:p w14:paraId="5C2EBFA3">
          <w:pPr>
            <w:widowControl/>
            <w:adjustRightInd/>
            <w:snapToGrid/>
            <w:spacing w:line="240" w:lineRule="auto"/>
            <w:ind w:firstLine="0" w:firstLineChars="0"/>
            <w:jc w:val="center"/>
          </w:pPr>
        </w:p>
        <w:p w14:paraId="2F4A28E7">
          <w:pPr>
            <w:pStyle w:val="23"/>
            <w:tabs>
              <w:tab w:val="right" w:leader="dot" w:pos="8731"/>
            </w:tabs>
          </w:pPr>
          <w:r>
            <w:rPr>
              <w:rFonts w:ascii="Times New Roman" w:hAnsi="Times New Roman" w:eastAsia="宋体"/>
              <w:kern w:val="0"/>
              <w:szCs w:val="28"/>
            </w:rPr>
            <w:fldChar w:fldCharType="begin"/>
          </w:r>
          <w:r>
            <w:rPr>
              <w:rFonts w:ascii="Times New Roman" w:hAnsi="Times New Roman"/>
              <w:szCs w:val="28"/>
            </w:rPr>
            <w:instrText xml:space="preserve">TOC \o "1-2" \h \u </w:instrText>
          </w:r>
          <w:r>
            <w:rPr>
              <w:rFonts w:ascii="Times New Roman" w:hAnsi="Times New Roman" w:eastAsia="宋体"/>
              <w:kern w:val="0"/>
              <w:szCs w:val="28"/>
            </w:rPr>
            <w:fldChar w:fldCharType="separate"/>
          </w:r>
          <w:r>
            <w:rPr>
              <w:rFonts w:ascii="Times New Roman" w:hAnsi="Times New Roman" w:eastAsia="宋体"/>
              <w:kern w:val="0"/>
              <w:szCs w:val="28"/>
            </w:rPr>
            <w:fldChar w:fldCharType="begin"/>
          </w:r>
          <w:r>
            <w:rPr>
              <w:rFonts w:ascii="Times New Roman" w:hAnsi="Times New Roman" w:eastAsia="宋体"/>
              <w:kern w:val="0"/>
              <w:szCs w:val="28"/>
            </w:rPr>
            <w:instrText xml:space="preserve"> HYPERLINK \l _Toc22663 </w:instrText>
          </w:r>
          <w:r>
            <w:rPr>
              <w:rFonts w:ascii="Times New Roman" w:hAnsi="Times New Roman" w:eastAsia="宋体"/>
              <w:kern w:val="0"/>
              <w:szCs w:val="28"/>
            </w:rPr>
            <w:fldChar w:fldCharType="separate"/>
          </w:r>
          <w:r>
            <w:rPr>
              <w:rFonts w:hint="eastAsia"/>
              <w:lang w:val="en-US" w:eastAsia="zh-CN"/>
            </w:rPr>
            <w:t>前言</w:t>
          </w:r>
          <w:r>
            <w:tab/>
          </w:r>
          <w:r>
            <w:fldChar w:fldCharType="begin"/>
          </w:r>
          <w:r>
            <w:instrText xml:space="preserve"> PAGEREF _Toc22663 \h </w:instrText>
          </w:r>
          <w:r>
            <w:fldChar w:fldCharType="separate"/>
          </w:r>
          <w:r>
            <w:t>1</w:t>
          </w:r>
          <w:r>
            <w:fldChar w:fldCharType="end"/>
          </w:r>
          <w:r>
            <w:rPr>
              <w:rFonts w:ascii="Times New Roman" w:hAnsi="Times New Roman" w:eastAsia="宋体"/>
              <w:kern w:val="0"/>
              <w:szCs w:val="28"/>
            </w:rPr>
            <w:fldChar w:fldCharType="end"/>
          </w:r>
        </w:p>
        <w:p w14:paraId="73310CDF">
          <w:pPr>
            <w:pStyle w:val="23"/>
            <w:tabs>
              <w:tab w:val="right" w:leader="dot" w:pos="8731"/>
            </w:tabs>
          </w:pPr>
          <w:r>
            <w:rPr>
              <w:szCs w:val="28"/>
            </w:rPr>
            <w:fldChar w:fldCharType="begin"/>
          </w:r>
          <w:r>
            <w:rPr>
              <w:szCs w:val="28"/>
            </w:rPr>
            <w:instrText xml:space="preserve"> HYPERLINK \l _Toc2898 </w:instrText>
          </w:r>
          <w:r>
            <w:rPr>
              <w:szCs w:val="28"/>
            </w:rPr>
            <w:fldChar w:fldCharType="separate"/>
          </w:r>
          <w:r>
            <w:rPr>
              <w:rFonts w:hint="eastAsia"/>
              <w:lang w:val="en-US" w:eastAsia="zh-CN"/>
            </w:rPr>
            <w:t>1</w:t>
          </w:r>
          <w:r>
            <w:t>现状与基础</w:t>
          </w:r>
          <w:r>
            <w:tab/>
          </w:r>
          <w:r>
            <w:fldChar w:fldCharType="begin"/>
          </w:r>
          <w:r>
            <w:instrText xml:space="preserve"> PAGEREF _Toc2898 \h </w:instrText>
          </w:r>
          <w:r>
            <w:fldChar w:fldCharType="separate"/>
          </w:r>
          <w:r>
            <w:t>1</w:t>
          </w:r>
          <w:r>
            <w:fldChar w:fldCharType="end"/>
          </w:r>
          <w:r>
            <w:rPr>
              <w:szCs w:val="28"/>
            </w:rPr>
            <w:fldChar w:fldCharType="end"/>
          </w:r>
        </w:p>
        <w:p w14:paraId="296A22B7">
          <w:pPr>
            <w:pStyle w:val="26"/>
            <w:tabs>
              <w:tab w:val="right" w:leader="dot" w:pos="8731"/>
            </w:tabs>
          </w:pPr>
          <w:r>
            <w:rPr>
              <w:szCs w:val="28"/>
            </w:rPr>
            <w:fldChar w:fldCharType="begin"/>
          </w:r>
          <w:r>
            <w:rPr>
              <w:szCs w:val="28"/>
            </w:rPr>
            <w:instrText xml:space="preserve"> HYPERLINK \l _Toc22055 </w:instrText>
          </w:r>
          <w:r>
            <w:rPr>
              <w:szCs w:val="28"/>
            </w:rPr>
            <w:fldChar w:fldCharType="separate"/>
          </w:r>
          <w:r>
            <w:rPr>
              <w:rFonts w:hint="eastAsia"/>
              <w:lang w:val="en-US" w:eastAsia="zh-CN"/>
            </w:rPr>
            <w:t>1.1</w:t>
          </w:r>
          <w:r>
            <w:t>自然条件</w:t>
          </w:r>
          <w:r>
            <w:tab/>
          </w:r>
          <w:r>
            <w:fldChar w:fldCharType="begin"/>
          </w:r>
          <w:r>
            <w:instrText xml:space="preserve"> PAGEREF _Toc22055 \h </w:instrText>
          </w:r>
          <w:r>
            <w:fldChar w:fldCharType="separate"/>
          </w:r>
          <w:r>
            <w:t>1</w:t>
          </w:r>
          <w:r>
            <w:fldChar w:fldCharType="end"/>
          </w:r>
          <w:r>
            <w:rPr>
              <w:szCs w:val="28"/>
            </w:rPr>
            <w:fldChar w:fldCharType="end"/>
          </w:r>
        </w:p>
        <w:p w14:paraId="512726F7">
          <w:pPr>
            <w:pStyle w:val="26"/>
            <w:tabs>
              <w:tab w:val="right" w:leader="dot" w:pos="8731"/>
            </w:tabs>
          </w:pPr>
          <w:r>
            <w:rPr>
              <w:szCs w:val="28"/>
            </w:rPr>
            <w:fldChar w:fldCharType="begin"/>
          </w:r>
          <w:r>
            <w:rPr>
              <w:szCs w:val="28"/>
            </w:rPr>
            <w:instrText xml:space="preserve"> HYPERLINK \l _Toc5878 </w:instrText>
          </w:r>
          <w:r>
            <w:rPr>
              <w:szCs w:val="28"/>
            </w:rPr>
            <w:fldChar w:fldCharType="separate"/>
          </w:r>
          <w:r>
            <w:rPr>
              <w:rFonts w:hint="eastAsia" w:ascii="Times New Roman" w:hAnsi="Times New Roman"/>
              <w:lang w:val="en-US" w:eastAsia="zh-CN"/>
            </w:rPr>
            <w:t>1.2经济社会</w:t>
          </w:r>
          <w:r>
            <w:tab/>
          </w:r>
          <w:r>
            <w:fldChar w:fldCharType="begin"/>
          </w:r>
          <w:r>
            <w:instrText xml:space="preserve"> PAGEREF _Toc5878 \h </w:instrText>
          </w:r>
          <w:r>
            <w:fldChar w:fldCharType="separate"/>
          </w:r>
          <w:r>
            <w:t>12</w:t>
          </w:r>
          <w:r>
            <w:fldChar w:fldCharType="end"/>
          </w:r>
          <w:r>
            <w:rPr>
              <w:szCs w:val="28"/>
            </w:rPr>
            <w:fldChar w:fldCharType="end"/>
          </w:r>
        </w:p>
        <w:p w14:paraId="70426E6E">
          <w:pPr>
            <w:pStyle w:val="26"/>
            <w:tabs>
              <w:tab w:val="right" w:leader="dot" w:pos="8731"/>
            </w:tabs>
          </w:pPr>
          <w:r>
            <w:rPr>
              <w:szCs w:val="28"/>
            </w:rPr>
            <w:fldChar w:fldCharType="begin"/>
          </w:r>
          <w:r>
            <w:rPr>
              <w:szCs w:val="28"/>
            </w:rPr>
            <w:instrText xml:space="preserve"> HYPERLINK \l _Toc20431 </w:instrText>
          </w:r>
          <w:r>
            <w:rPr>
              <w:szCs w:val="28"/>
            </w:rPr>
            <w:fldChar w:fldCharType="separate"/>
          </w:r>
          <w:r>
            <w:rPr>
              <w:rFonts w:hint="eastAsia" w:ascii="Times New Roman" w:hAnsi="Times New Roman"/>
              <w:lang w:val="en-US" w:eastAsia="zh-CN"/>
            </w:rPr>
            <w:t>1.3</w:t>
          </w:r>
          <w:r>
            <w:rPr>
              <w:rFonts w:hint="default" w:ascii="Times New Roman" w:hAnsi="Times New Roman"/>
              <w:lang w:val="en-US" w:eastAsia="zh-CN"/>
            </w:rPr>
            <w:t>涉水空间与水利基础设施现状</w:t>
          </w:r>
          <w:r>
            <w:tab/>
          </w:r>
          <w:r>
            <w:fldChar w:fldCharType="begin"/>
          </w:r>
          <w:r>
            <w:instrText xml:space="preserve"> PAGEREF _Toc20431 \h </w:instrText>
          </w:r>
          <w:r>
            <w:fldChar w:fldCharType="separate"/>
          </w:r>
          <w:r>
            <w:t>15</w:t>
          </w:r>
          <w:r>
            <w:fldChar w:fldCharType="end"/>
          </w:r>
          <w:r>
            <w:rPr>
              <w:szCs w:val="28"/>
            </w:rPr>
            <w:fldChar w:fldCharType="end"/>
          </w:r>
        </w:p>
        <w:p w14:paraId="0A281365">
          <w:pPr>
            <w:pStyle w:val="26"/>
            <w:tabs>
              <w:tab w:val="right" w:leader="dot" w:pos="8731"/>
            </w:tabs>
          </w:pPr>
          <w:r>
            <w:rPr>
              <w:szCs w:val="28"/>
            </w:rPr>
            <w:fldChar w:fldCharType="begin"/>
          </w:r>
          <w:r>
            <w:rPr>
              <w:szCs w:val="28"/>
            </w:rPr>
            <w:instrText xml:space="preserve"> HYPERLINK \l _Toc21987 </w:instrText>
          </w:r>
          <w:r>
            <w:rPr>
              <w:szCs w:val="28"/>
            </w:rPr>
            <w:fldChar w:fldCharType="separate"/>
          </w:r>
          <w:r>
            <w:rPr>
              <w:rFonts w:hint="eastAsia" w:ascii="Times New Roman" w:hAnsi="Times New Roman"/>
              <w:lang w:val="en-US" w:eastAsia="zh-CN"/>
            </w:rPr>
            <w:t>1.4存在的主要问题</w:t>
          </w:r>
          <w:r>
            <w:tab/>
          </w:r>
          <w:r>
            <w:fldChar w:fldCharType="begin"/>
          </w:r>
          <w:r>
            <w:instrText xml:space="preserve"> PAGEREF _Toc21987 \h </w:instrText>
          </w:r>
          <w:r>
            <w:fldChar w:fldCharType="separate"/>
          </w:r>
          <w:r>
            <w:t>20</w:t>
          </w:r>
          <w:r>
            <w:fldChar w:fldCharType="end"/>
          </w:r>
          <w:r>
            <w:rPr>
              <w:szCs w:val="28"/>
            </w:rPr>
            <w:fldChar w:fldCharType="end"/>
          </w:r>
        </w:p>
        <w:p w14:paraId="27FF8969">
          <w:pPr>
            <w:pStyle w:val="23"/>
            <w:tabs>
              <w:tab w:val="right" w:leader="dot" w:pos="8731"/>
            </w:tabs>
          </w:pPr>
          <w:r>
            <w:rPr>
              <w:szCs w:val="28"/>
            </w:rPr>
            <w:fldChar w:fldCharType="begin"/>
          </w:r>
          <w:r>
            <w:rPr>
              <w:szCs w:val="28"/>
            </w:rPr>
            <w:instrText xml:space="preserve"> HYPERLINK \l _Toc2684 </w:instrText>
          </w:r>
          <w:r>
            <w:rPr>
              <w:szCs w:val="28"/>
            </w:rPr>
            <w:fldChar w:fldCharType="separate"/>
          </w:r>
          <w:r>
            <w:rPr>
              <w:rFonts w:hint="eastAsia"/>
              <w:lang w:val="en-US" w:eastAsia="zh-CN"/>
            </w:rPr>
            <w:t>2</w:t>
          </w:r>
          <w:r>
            <w:t>形势与挑战</w:t>
          </w:r>
          <w:r>
            <w:tab/>
          </w:r>
          <w:r>
            <w:fldChar w:fldCharType="begin"/>
          </w:r>
          <w:r>
            <w:instrText xml:space="preserve"> PAGEREF _Toc2684 \h </w:instrText>
          </w:r>
          <w:r>
            <w:fldChar w:fldCharType="separate"/>
          </w:r>
          <w:r>
            <w:t>28</w:t>
          </w:r>
          <w:r>
            <w:fldChar w:fldCharType="end"/>
          </w:r>
          <w:r>
            <w:rPr>
              <w:szCs w:val="28"/>
            </w:rPr>
            <w:fldChar w:fldCharType="end"/>
          </w:r>
        </w:p>
        <w:p w14:paraId="1362AF14">
          <w:pPr>
            <w:pStyle w:val="26"/>
            <w:tabs>
              <w:tab w:val="right" w:leader="dot" w:pos="8731"/>
            </w:tabs>
          </w:pPr>
          <w:r>
            <w:rPr>
              <w:szCs w:val="28"/>
            </w:rPr>
            <w:fldChar w:fldCharType="begin"/>
          </w:r>
          <w:r>
            <w:rPr>
              <w:szCs w:val="28"/>
            </w:rPr>
            <w:instrText xml:space="preserve"> HYPERLINK \l _Toc20002 </w:instrText>
          </w:r>
          <w:r>
            <w:rPr>
              <w:szCs w:val="28"/>
            </w:rPr>
            <w:fldChar w:fldCharType="separate"/>
          </w:r>
          <w:r>
            <w:rPr>
              <w:rFonts w:hint="eastAsia"/>
              <w:lang w:val="en-US" w:eastAsia="zh-CN"/>
            </w:rPr>
            <w:t>2.1涉水</w:t>
          </w:r>
          <w:r>
            <w:t>空间管控形势与要求</w:t>
          </w:r>
          <w:r>
            <w:tab/>
          </w:r>
          <w:r>
            <w:fldChar w:fldCharType="begin"/>
          </w:r>
          <w:r>
            <w:instrText xml:space="preserve"> PAGEREF _Toc20002 \h </w:instrText>
          </w:r>
          <w:r>
            <w:fldChar w:fldCharType="separate"/>
          </w:r>
          <w:r>
            <w:t>28</w:t>
          </w:r>
          <w:r>
            <w:fldChar w:fldCharType="end"/>
          </w:r>
          <w:r>
            <w:rPr>
              <w:szCs w:val="28"/>
            </w:rPr>
            <w:fldChar w:fldCharType="end"/>
          </w:r>
        </w:p>
        <w:p w14:paraId="5A3D4837">
          <w:pPr>
            <w:pStyle w:val="26"/>
            <w:tabs>
              <w:tab w:val="right" w:leader="dot" w:pos="8731"/>
            </w:tabs>
          </w:pPr>
          <w:r>
            <w:rPr>
              <w:szCs w:val="28"/>
            </w:rPr>
            <w:fldChar w:fldCharType="begin"/>
          </w:r>
          <w:r>
            <w:rPr>
              <w:szCs w:val="28"/>
            </w:rPr>
            <w:instrText xml:space="preserve"> HYPERLINK \l _Toc32011 </w:instrText>
          </w:r>
          <w:r>
            <w:rPr>
              <w:szCs w:val="28"/>
            </w:rPr>
            <w:fldChar w:fldCharType="separate"/>
          </w:r>
          <w:r>
            <w:rPr>
              <w:rFonts w:hint="eastAsia"/>
              <w:lang w:val="en-US" w:eastAsia="zh-CN"/>
            </w:rPr>
            <w:t>2.2</w:t>
          </w:r>
          <w:r>
            <w:t>防洪安全保障治理要求</w:t>
          </w:r>
          <w:r>
            <w:tab/>
          </w:r>
          <w:r>
            <w:fldChar w:fldCharType="begin"/>
          </w:r>
          <w:r>
            <w:instrText xml:space="preserve"> PAGEREF _Toc32011 \h </w:instrText>
          </w:r>
          <w:r>
            <w:fldChar w:fldCharType="separate"/>
          </w:r>
          <w:r>
            <w:t>29</w:t>
          </w:r>
          <w:r>
            <w:fldChar w:fldCharType="end"/>
          </w:r>
          <w:r>
            <w:rPr>
              <w:szCs w:val="28"/>
            </w:rPr>
            <w:fldChar w:fldCharType="end"/>
          </w:r>
        </w:p>
        <w:p w14:paraId="79C6DC8B">
          <w:pPr>
            <w:pStyle w:val="26"/>
            <w:tabs>
              <w:tab w:val="right" w:leader="dot" w:pos="8731"/>
            </w:tabs>
          </w:pPr>
          <w:r>
            <w:rPr>
              <w:szCs w:val="28"/>
            </w:rPr>
            <w:fldChar w:fldCharType="begin"/>
          </w:r>
          <w:r>
            <w:rPr>
              <w:szCs w:val="28"/>
            </w:rPr>
            <w:instrText xml:space="preserve"> HYPERLINK \l _Toc26674 </w:instrText>
          </w:r>
          <w:r>
            <w:rPr>
              <w:szCs w:val="28"/>
            </w:rPr>
            <w:fldChar w:fldCharType="separate"/>
          </w:r>
          <w:r>
            <w:rPr>
              <w:rFonts w:hint="eastAsia"/>
              <w:lang w:val="en-US" w:eastAsia="zh-CN"/>
            </w:rPr>
            <w:t>2.3</w:t>
          </w:r>
          <w:r>
            <w:t>水资源承载能力与供水安全保障要求</w:t>
          </w:r>
          <w:r>
            <w:tab/>
          </w:r>
          <w:r>
            <w:fldChar w:fldCharType="begin"/>
          </w:r>
          <w:r>
            <w:instrText xml:space="preserve"> PAGEREF _Toc26674 \h </w:instrText>
          </w:r>
          <w:r>
            <w:fldChar w:fldCharType="separate"/>
          </w:r>
          <w:r>
            <w:t>30</w:t>
          </w:r>
          <w:r>
            <w:fldChar w:fldCharType="end"/>
          </w:r>
          <w:r>
            <w:rPr>
              <w:szCs w:val="28"/>
            </w:rPr>
            <w:fldChar w:fldCharType="end"/>
          </w:r>
        </w:p>
        <w:p w14:paraId="020CFB4E">
          <w:pPr>
            <w:pStyle w:val="26"/>
            <w:tabs>
              <w:tab w:val="right" w:leader="dot" w:pos="8731"/>
            </w:tabs>
          </w:pPr>
          <w:r>
            <w:rPr>
              <w:szCs w:val="28"/>
            </w:rPr>
            <w:fldChar w:fldCharType="begin"/>
          </w:r>
          <w:r>
            <w:rPr>
              <w:szCs w:val="28"/>
            </w:rPr>
            <w:instrText xml:space="preserve"> HYPERLINK \l _Toc20171 </w:instrText>
          </w:r>
          <w:r>
            <w:rPr>
              <w:szCs w:val="28"/>
            </w:rPr>
            <w:fldChar w:fldCharType="separate"/>
          </w:r>
          <w:r>
            <w:rPr>
              <w:rFonts w:hint="eastAsia"/>
              <w:lang w:val="en-US" w:eastAsia="zh-CN"/>
            </w:rPr>
            <w:t>2.4</w:t>
          </w:r>
          <w:r>
            <w:t>涉水空间保护要求</w:t>
          </w:r>
          <w:r>
            <w:tab/>
          </w:r>
          <w:r>
            <w:fldChar w:fldCharType="begin"/>
          </w:r>
          <w:r>
            <w:instrText xml:space="preserve"> PAGEREF _Toc20171 \h </w:instrText>
          </w:r>
          <w:r>
            <w:fldChar w:fldCharType="separate"/>
          </w:r>
          <w:r>
            <w:t>32</w:t>
          </w:r>
          <w:r>
            <w:fldChar w:fldCharType="end"/>
          </w:r>
          <w:r>
            <w:rPr>
              <w:szCs w:val="28"/>
            </w:rPr>
            <w:fldChar w:fldCharType="end"/>
          </w:r>
        </w:p>
        <w:p w14:paraId="5503A8F1">
          <w:pPr>
            <w:pStyle w:val="23"/>
            <w:tabs>
              <w:tab w:val="right" w:leader="dot" w:pos="8731"/>
            </w:tabs>
          </w:pPr>
          <w:r>
            <w:rPr>
              <w:szCs w:val="28"/>
            </w:rPr>
            <w:fldChar w:fldCharType="begin"/>
          </w:r>
          <w:r>
            <w:rPr>
              <w:szCs w:val="28"/>
            </w:rPr>
            <w:instrText xml:space="preserve"> HYPERLINK \l _Toc13249 </w:instrText>
          </w:r>
          <w:r>
            <w:rPr>
              <w:szCs w:val="28"/>
            </w:rPr>
            <w:fldChar w:fldCharType="separate"/>
          </w:r>
          <w:r>
            <w:rPr>
              <w:rFonts w:hint="eastAsia"/>
              <w:lang w:val="en-US" w:eastAsia="zh-CN"/>
            </w:rPr>
            <w:t>3总体规划与水安全保障策略</w:t>
          </w:r>
          <w:r>
            <w:tab/>
          </w:r>
          <w:r>
            <w:fldChar w:fldCharType="begin"/>
          </w:r>
          <w:r>
            <w:instrText xml:space="preserve"> PAGEREF _Toc13249 \h </w:instrText>
          </w:r>
          <w:r>
            <w:fldChar w:fldCharType="separate"/>
          </w:r>
          <w:r>
            <w:t>36</w:t>
          </w:r>
          <w:r>
            <w:fldChar w:fldCharType="end"/>
          </w:r>
          <w:r>
            <w:rPr>
              <w:szCs w:val="28"/>
            </w:rPr>
            <w:fldChar w:fldCharType="end"/>
          </w:r>
        </w:p>
        <w:p w14:paraId="75193901">
          <w:pPr>
            <w:pStyle w:val="26"/>
            <w:tabs>
              <w:tab w:val="right" w:leader="dot" w:pos="8731"/>
            </w:tabs>
          </w:pPr>
          <w:r>
            <w:rPr>
              <w:szCs w:val="28"/>
            </w:rPr>
            <w:fldChar w:fldCharType="begin"/>
          </w:r>
          <w:r>
            <w:rPr>
              <w:szCs w:val="28"/>
            </w:rPr>
            <w:instrText xml:space="preserve"> HYPERLINK \l _Toc18379 </w:instrText>
          </w:r>
          <w:r>
            <w:rPr>
              <w:szCs w:val="28"/>
            </w:rPr>
            <w:fldChar w:fldCharType="separate"/>
          </w:r>
          <w:r>
            <w:rPr>
              <w:rFonts w:hint="eastAsia"/>
              <w:lang w:val="en-US" w:eastAsia="zh-CN"/>
            </w:rPr>
            <w:t>3.1指导思想</w:t>
          </w:r>
          <w:r>
            <w:tab/>
          </w:r>
          <w:r>
            <w:fldChar w:fldCharType="begin"/>
          </w:r>
          <w:r>
            <w:instrText xml:space="preserve"> PAGEREF _Toc18379 \h </w:instrText>
          </w:r>
          <w:r>
            <w:fldChar w:fldCharType="separate"/>
          </w:r>
          <w:r>
            <w:t>36</w:t>
          </w:r>
          <w:r>
            <w:fldChar w:fldCharType="end"/>
          </w:r>
          <w:r>
            <w:rPr>
              <w:szCs w:val="28"/>
            </w:rPr>
            <w:fldChar w:fldCharType="end"/>
          </w:r>
        </w:p>
        <w:p w14:paraId="29D2055F">
          <w:pPr>
            <w:pStyle w:val="26"/>
            <w:tabs>
              <w:tab w:val="right" w:leader="dot" w:pos="8731"/>
            </w:tabs>
          </w:pPr>
          <w:r>
            <w:rPr>
              <w:szCs w:val="28"/>
            </w:rPr>
            <w:fldChar w:fldCharType="begin"/>
          </w:r>
          <w:r>
            <w:rPr>
              <w:szCs w:val="28"/>
            </w:rPr>
            <w:instrText xml:space="preserve"> HYPERLINK \l _Toc23386 </w:instrText>
          </w:r>
          <w:r>
            <w:rPr>
              <w:szCs w:val="28"/>
            </w:rPr>
            <w:fldChar w:fldCharType="separate"/>
          </w:r>
          <w:r>
            <w:rPr>
              <w:rFonts w:hint="eastAsia"/>
              <w:lang w:val="en-US" w:eastAsia="zh-CN"/>
            </w:rPr>
            <w:t>3.2基本原则</w:t>
          </w:r>
          <w:r>
            <w:tab/>
          </w:r>
          <w:r>
            <w:fldChar w:fldCharType="begin"/>
          </w:r>
          <w:r>
            <w:instrText xml:space="preserve"> PAGEREF _Toc23386 \h </w:instrText>
          </w:r>
          <w:r>
            <w:fldChar w:fldCharType="separate"/>
          </w:r>
          <w:r>
            <w:t>36</w:t>
          </w:r>
          <w:r>
            <w:fldChar w:fldCharType="end"/>
          </w:r>
          <w:r>
            <w:rPr>
              <w:szCs w:val="28"/>
            </w:rPr>
            <w:fldChar w:fldCharType="end"/>
          </w:r>
        </w:p>
        <w:p w14:paraId="37C60AEF">
          <w:pPr>
            <w:pStyle w:val="26"/>
            <w:tabs>
              <w:tab w:val="right" w:leader="dot" w:pos="8731"/>
            </w:tabs>
          </w:pPr>
          <w:r>
            <w:rPr>
              <w:szCs w:val="28"/>
            </w:rPr>
            <w:fldChar w:fldCharType="begin"/>
          </w:r>
          <w:r>
            <w:rPr>
              <w:szCs w:val="28"/>
            </w:rPr>
            <w:instrText xml:space="preserve"> HYPERLINK \l _Toc10324 </w:instrText>
          </w:r>
          <w:r>
            <w:rPr>
              <w:szCs w:val="28"/>
            </w:rPr>
            <w:fldChar w:fldCharType="separate"/>
          </w:r>
          <w:r>
            <w:rPr>
              <w:rFonts w:hint="eastAsia"/>
              <w:lang w:val="en-US" w:eastAsia="zh-CN"/>
            </w:rPr>
            <w:t>3.3规划依据</w:t>
          </w:r>
          <w:r>
            <w:tab/>
          </w:r>
          <w:r>
            <w:fldChar w:fldCharType="begin"/>
          </w:r>
          <w:r>
            <w:instrText xml:space="preserve"> PAGEREF _Toc10324 \h </w:instrText>
          </w:r>
          <w:r>
            <w:fldChar w:fldCharType="separate"/>
          </w:r>
          <w:r>
            <w:t>37</w:t>
          </w:r>
          <w:r>
            <w:fldChar w:fldCharType="end"/>
          </w:r>
          <w:r>
            <w:rPr>
              <w:szCs w:val="28"/>
            </w:rPr>
            <w:fldChar w:fldCharType="end"/>
          </w:r>
        </w:p>
        <w:p w14:paraId="4C48F8CF">
          <w:pPr>
            <w:pStyle w:val="26"/>
            <w:tabs>
              <w:tab w:val="right" w:leader="dot" w:pos="8731"/>
            </w:tabs>
          </w:pPr>
          <w:r>
            <w:rPr>
              <w:szCs w:val="28"/>
            </w:rPr>
            <w:fldChar w:fldCharType="begin"/>
          </w:r>
          <w:r>
            <w:rPr>
              <w:szCs w:val="28"/>
            </w:rPr>
            <w:instrText xml:space="preserve"> HYPERLINK \l _Toc1636 </w:instrText>
          </w:r>
          <w:r>
            <w:rPr>
              <w:szCs w:val="28"/>
            </w:rPr>
            <w:fldChar w:fldCharType="separate"/>
          </w:r>
          <w:r>
            <w:rPr>
              <w:rFonts w:hint="eastAsia"/>
              <w:lang w:val="en-US" w:eastAsia="zh-CN"/>
            </w:rPr>
            <w:t>3.4规划水平年</w:t>
          </w:r>
          <w:r>
            <w:tab/>
          </w:r>
          <w:r>
            <w:fldChar w:fldCharType="begin"/>
          </w:r>
          <w:r>
            <w:instrText xml:space="preserve"> PAGEREF _Toc1636 \h </w:instrText>
          </w:r>
          <w:r>
            <w:fldChar w:fldCharType="separate"/>
          </w:r>
          <w:r>
            <w:t>38</w:t>
          </w:r>
          <w:r>
            <w:fldChar w:fldCharType="end"/>
          </w:r>
          <w:r>
            <w:rPr>
              <w:szCs w:val="28"/>
            </w:rPr>
            <w:fldChar w:fldCharType="end"/>
          </w:r>
        </w:p>
        <w:p w14:paraId="1D4BA4F7">
          <w:pPr>
            <w:pStyle w:val="26"/>
            <w:tabs>
              <w:tab w:val="right" w:leader="dot" w:pos="8731"/>
            </w:tabs>
          </w:pPr>
          <w:r>
            <w:rPr>
              <w:szCs w:val="28"/>
            </w:rPr>
            <w:fldChar w:fldCharType="begin"/>
          </w:r>
          <w:r>
            <w:rPr>
              <w:szCs w:val="28"/>
            </w:rPr>
            <w:instrText xml:space="preserve"> HYPERLINK \l _Toc18795 </w:instrText>
          </w:r>
          <w:r>
            <w:rPr>
              <w:szCs w:val="28"/>
            </w:rPr>
            <w:fldChar w:fldCharType="separate"/>
          </w:r>
          <w:r>
            <w:rPr>
              <w:rFonts w:hint="eastAsia"/>
              <w:lang w:val="en-US" w:eastAsia="zh-CN"/>
            </w:rPr>
            <w:t>3.5规划范围</w:t>
          </w:r>
          <w:r>
            <w:tab/>
          </w:r>
          <w:r>
            <w:fldChar w:fldCharType="begin"/>
          </w:r>
          <w:r>
            <w:instrText xml:space="preserve"> PAGEREF _Toc18795 \h </w:instrText>
          </w:r>
          <w:r>
            <w:fldChar w:fldCharType="separate"/>
          </w:r>
          <w:r>
            <w:t>38</w:t>
          </w:r>
          <w:r>
            <w:fldChar w:fldCharType="end"/>
          </w:r>
          <w:r>
            <w:rPr>
              <w:szCs w:val="28"/>
            </w:rPr>
            <w:fldChar w:fldCharType="end"/>
          </w:r>
        </w:p>
        <w:p w14:paraId="7653E75C">
          <w:pPr>
            <w:pStyle w:val="26"/>
            <w:tabs>
              <w:tab w:val="right" w:leader="dot" w:pos="8731"/>
            </w:tabs>
          </w:pPr>
          <w:r>
            <w:rPr>
              <w:szCs w:val="28"/>
            </w:rPr>
            <w:fldChar w:fldCharType="begin"/>
          </w:r>
          <w:r>
            <w:rPr>
              <w:szCs w:val="28"/>
            </w:rPr>
            <w:instrText xml:space="preserve"> HYPERLINK \l _Toc9246 </w:instrText>
          </w:r>
          <w:r>
            <w:rPr>
              <w:szCs w:val="28"/>
            </w:rPr>
            <w:fldChar w:fldCharType="separate"/>
          </w:r>
          <w:r>
            <w:rPr>
              <w:rFonts w:hint="eastAsia"/>
              <w:lang w:val="en-US" w:eastAsia="zh-CN"/>
            </w:rPr>
            <w:t>3.6战略目标与控制指标</w:t>
          </w:r>
          <w:r>
            <w:tab/>
          </w:r>
          <w:r>
            <w:fldChar w:fldCharType="begin"/>
          </w:r>
          <w:r>
            <w:instrText xml:space="preserve"> PAGEREF _Toc9246 \h </w:instrText>
          </w:r>
          <w:r>
            <w:fldChar w:fldCharType="separate"/>
          </w:r>
          <w:r>
            <w:t>41</w:t>
          </w:r>
          <w:r>
            <w:fldChar w:fldCharType="end"/>
          </w:r>
          <w:r>
            <w:rPr>
              <w:szCs w:val="28"/>
            </w:rPr>
            <w:fldChar w:fldCharType="end"/>
          </w:r>
        </w:p>
        <w:p w14:paraId="74FC340C">
          <w:pPr>
            <w:pStyle w:val="26"/>
            <w:tabs>
              <w:tab w:val="right" w:leader="dot" w:pos="8731"/>
            </w:tabs>
          </w:pPr>
          <w:r>
            <w:rPr>
              <w:szCs w:val="28"/>
            </w:rPr>
            <w:fldChar w:fldCharType="begin"/>
          </w:r>
          <w:r>
            <w:rPr>
              <w:szCs w:val="28"/>
            </w:rPr>
            <w:instrText xml:space="preserve"> HYPERLINK \l _Toc13919 </w:instrText>
          </w:r>
          <w:r>
            <w:rPr>
              <w:szCs w:val="28"/>
            </w:rPr>
            <w:fldChar w:fldCharType="separate"/>
          </w:r>
          <w:r>
            <w:rPr>
              <w:rFonts w:hint="eastAsia"/>
              <w:lang w:val="en-US" w:eastAsia="zh-CN"/>
            </w:rPr>
            <w:t>3.7水安全保障总体策略</w:t>
          </w:r>
          <w:r>
            <w:tab/>
          </w:r>
          <w:r>
            <w:fldChar w:fldCharType="begin"/>
          </w:r>
          <w:r>
            <w:instrText xml:space="preserve"> PAGEREF _Toc13919 \h </w:instrText>
          </w:r>
          <w:r>
            <w:fldChar w:fldCharType="separate"/>
          </w:r>
          <w:r>
            <w:t>42</w:t>
          </w:r>
          <w:r>
            <w:fldChar w:fldCharType="end"/>
          </w:r>
          <w:r>
            <w:rPr>
              <w:szCs w:val="28"/>
            </w:rPr>
            <w:fldChar w:fldCharType="end"/>
          </w:r>
        </w:p>
        <w:p w14:paraId="39DE2B92">
          <w:pPr>
            <w:pStyle w:val="23"/>
            <w:tabs>
              <w:tab w:val="right" w:leader="dot" w:pos="8731"/>
            </w:tabs>
          </w:pPr>
          <w:r>
            <w:rPr>
              <w:szCs w:val="28"/>
            </w:rPr>
            <w:fldChar w:fldCharType="begin"/>
          </w:r>
          <w:r>
            <w:rPr>
              <w:szCs w:val="28"/>
            </w:rPr>
            <w:instrText xml:space="preserve"> HYPERLINK \l _Toc12159 </w:instrText>
          </w:r>
          <w:r>
            <w:rPr>
              <w:szCs w:val="28"/>
            </w:rPr>
            <w:fldChar w:fldCharType="separate"/>
          </w:r>
          <w:r>
            <w:rPr>
              <w:rFonts w:hint="eastAsia"/>
              <w:lang w:val="en-US" w:eastAsia="zh-CN"/>
            </w:rPr>
            <w:t>4</w:t>
          </w:r>
          <w:r>
            <w:t>涉水空间与涉水生态保护红线</w:t>
          </w:r>
          <w:r>
            <w:tab/>
          </w:r>
          <w:r>
            <w:fldChar w:fldCharType="begin"/>
          </w:r>
          <w:r>
            <w:instrText xml:space="preserve"> PAGEREF _Toc12159 \h </w:instrText>
          </w:r>
          <w:r>
            <w:fldChar w:fldCharType="separate"/>
          </w:r>
          <w:r>
            <w:t>45</w:t>
          </w:r>
          <w:r>
            <w:fldChar w:fldCharType="end"/>
          </w:r>
          <w:r>
            <w:rPr>
              <w:szCs w:val="28"/>
            </w:rPr>
            <w:fldChar w:fldCharType="end"/>
          </w:r>
        </w:p>
        <w:p w14:paraId="1013F164">
          <w:pPr>
            <w:pStyle w:val="26"/>
            <w:tabs>
              <w:tab w:val="right" w:leader="dot" w:pos="8731"/>
            </w:tabs>
          </w:pPr>
          <w:r>
            <w:rPr>
              <w:szCs w:val="28"/>
            </w:rPr>
            <w:fldChar w:fldCharType="begin"/>
          </w:r>
          <w:r>
            <w:rPr>
              <w:szCs w:val="28"/>
            </w:rPr>
            <w:instrText xml:space="preserve"> HYPERLINK \l _Toc12193 </w:instrText>
          </w:r>
          <w:r>
            <w:rPr>
              <w:szCs w:val="28"/>
            </w:rPr>
            <w:fldChar w:fldCharType="separate"/>
          </w:r>
          <w:r>
            <w:rPr>
              <w:rFonts w:hint="eastAsia"/>
              <w:lang w:val="en-US" w:eastAsia="zh-CN"/>
            </w:rPr>
            <w:t>4.1</w:t>
          </w:r>
          <w:r>
            <w:t>涉水空间范围划定基本原则</w:t>
          </w:r>
          <w:r>
            <w:tab/>
          </w:r>
          <w:r>
            <w:fldChar w:fldCharType="begin"/>
          </w:r>
          <w:r>
            <w:instrText xml:space="preserve"> PAGEREF _Toc12193 \h </w:instrText>
          </w:r>
          <w:r>
            <w:fldChar w:fldCharType="separate"/>
          </w:r>
          <w:r>
            <w:t>45</w:t>
          </w:r>
          <w:r>
            <w:fldChar w:fldCharType="end"/>
          </w:r>
          <w:r>
            <w:rPr>
              <w:szCs w:val="28"/>
            </w:rPr>
            <w:fldChar w:fldCharType="end"/>
          </w:r>
        </w:p>
        <w:p w14:paraId="117F2542">
          <w:pPr>
            <w:pStyle w:val="26"/>
            <w:tabs>
              <w:tab w:val="right" w:leader="dot" w:pos="8731"/>
            </w:tabs>
          </w:pPr>
          <w:r>
            <w:rPr>
              <w:szCs w:val="28"/>
            </w:rPr>
            <w:fldChar w:fldCharType="begin"/>
          </w:r>
          <w:r>
            <w:rPr>
              <w:szCs w:val="28"/>
            </w:rPr>
            <w:instrText xml:space="preserve"> HYPERLINK \l _Toc15146 </w:instrText>
          </w:r>
          <w:r>
            <w:rPr>
              <w:szCs w:val="28"/>
            </w:rPr>
            <w:fldChar w:fldCharType="separate"/>
          </w:r>
          <w:r>
            <w:rPr>
              <w:rFonts w:hint="eastAsia"/>
              <w:lang w:val="en-US" w:eastAsia="zh-CN"/>
            </w:rPr>
            <w:t>4.2</w:t>
          </w:r>
          <w:r>
            <w:t>河湖水系水域岸线空间</w:t>
          </w:r>
          <w:r>
            <w:tab/>
          </w:r>
          <w:r>
            <w:fldChar w:fldCharType="begin"/>
          </w:r>
          <w:r>
            <w:instrText xml:space="preserve"> PAGEREF _Toc15146 \h </w:instrText>
          </w:r>
          <w:r>
            <w:fldChar w:fldCharType="separate"/>
          </w:r>
          <w:r>
            <w:t>48</w:t>
          </w:r>
          <w:r>
            <w:fldChar w:fldCharType="end"/>
          </w:r>
          <w:r>
            <w:rPr>
              <w:szCs w:val="28"/>
            </w:rPr>
            <w:fldChar w:fldCharType="end"/>
          </w:r>
        </w:p>
        <w:p w14:paraId="16C6D9CC">
          <w:pPr>
            <w:pStyle w:val="26"/>
            <w:tabs>
              <w:tab w:val="right" w:leader="dot" w:pos="8731"/>
            </w:tabs>
          </w:pPr>
          <w:r>
            <w:rPr>
              <w:szCs w:val="28"/>
            </w:rPr>
            <w:fldChar w:fldCharType="begin"/>
          </w:r>
          <w:r>
            <w:rPr>
              <w:szCs w:val="28"/>
            </w:rPr>
            <w:instrText xml:space="preserve"> HYPERLINK \l _Toc18806 </w:instrText>
          </w:r>
          <w:r>
            <w:rPr>
              <w:szCs w:val="28"/>
            </w:rPr>
            <w:fldChar w:fldCharType="separate"/>
          </w:r>
          <w:r>
            <w:rPr>
              <w:rFonts w:hint="eastAsia"/>
              <w:lang w:val="en-US" w:eastAsia="zh-CN"/>
            </w:rPr>
            <w:t>4.3</w:t>
          </w:r>
          <w:r>
            <w:t>涉水生态保护红线</w:t>
          </w:r>
          <w:r>
            <w:tab/>
          </w:r>
          <w:r>
            <w:fldChar w:fldCharType="begin"/>
          </w:r>
          <w:r>
            <w:instrText xml:space="preserve"> PAGEREF _Toc18806 \h </w:instrText>
          </w:r>
          <w:r>
            <w:fldChar w:fldCharType="separate"/>
          </w:r>
          <w:r>
            <w:t>51</w:t>
          </w:r>
          <w:r>
            <w:fldChar w:fldCharType="end"/>
          </w:r>
          <w:r>
            <w:rPr>
              <w:szCs w:val="28"/>
            </w:rPr>
            <w:fldChar w:fldCharType="end"/>
          </w:r>
        </w:p>
        <w:p w14:paraId="41B8AA65">
          <w:pPr>
            <w:pStyle w:val="23"/>
            <w:tabs>
              <w:tab w:val="right" w:leader="dot" w:pos="8731"/>
            </w:tabs>
          </w:pPr>
          <w:r>
            <w:rPr>
              <w:szCs w:val="28"/>
            </w:rPr>
            <w:fldChar w:fldCharType="begin"/>
          </w:r>
          <w:r>
            <w:rPr>
              <w:szCs w:val="28"/>
            </w:rPr>
            <w:instrText xml:space="preserve"> HYPERLINK \l _Toc19915 </w:instrText>
          </w:r>
          <w:r>
            <w:rPr>
              <w:szCs w:val="28"/>
            </w:rPr>
            <w:fldChar w:fldCharType="separate"/>
          </w:r>
          <w:r>
            <w:rPr>
              <w:rFonts w:hint="eastAsia"/>
              <w:lang w:val="en-US" w:eastAsia="zh-CN"/>
            </w:rPr>
            <w:t>5</w:t>
          </w:r>
          <w:r>
            <w:t>水利基础设施空间布局</w:t>
          </w:r>
          <w:r>
            <w:tab/>
          </w:r>
          <w:r>
            <w:fldChar w:fldCharType="begin"/>
          </w:r>
          <w:r>
            <w:instrText xml:space="preserve"> PAGEREF _Toc19915 \h </w:instrText>
          </w:r>
          <w:r>
            <w:fldChar w:fldCharType="separate"/>
          </w:r>
          <w:r>
            <w:t>55</w:t>
          </w:r>
          <w:r>
            <w:fldChar w:fldCharType="end"/>
          </w:r>
          <w:r>
            <w:rPr>
              <w:szCs w:val="28"/>
            </w:rPr>
            <w:fldChar w:fldCharType="end"/>
          </w:r>
        </w:p>
        <w:p w14:paraId="1B5BE0D3">
          <w:pPr>
            <w:pStyle w:val="26"/>
            <w:tabs>
              <w:tab w:val="right" w:leader="dot" w:pos="8731"/>
            </w:tabs>
          </w:pPr>
          <w:r>
            <w:rPr>
              <w:szCs w:val="28"/>
            </w:rPr>
            <w:fldChar w:fldCharType="begin"/>
          </w:r>
          <w:r>
            <w:rPr>
              <w:szCs w:val="28"/>
            </w:rPr>
            <w:instrText xml:space="preserve"> HYPERLINK \l _Toc11602 </w:instrText>
          </w:r>
          <w:r>
            <w:rPr>
              <w:szCs w:val="28"/>
            </w:rPr>
            <w:fldChar w:fldCharType="separate"/>
          </w:r>
          <w:r>
            <w:rPr>
              <w:rFonts w:hint="eastAsia"/>
              <w:lang w:val="en-US" w:eastAsia="zh-CN"/>
            </w:rPr>
            <w:t>5.1</w:t>
          </w:r>
          <w:r>
            <w:t>水利基础设施空间总体布局</w:t>
          </w:r>
          <w:r>
            <w:tab/>
          </w:r>
          <w:r>
            <w:fldChar w:fldCharType="begin"/>
          </w:r>
          <w:r>
            <w:instrText xml:space="preserve"> PAGEREF _Toc11602 \h </w:instrText>
          </w:r>
          <w:r>
            <w:fldChar w:fldCharType="separate"/>
          </w:r>
          <w:r>
            <w:t>55</w:t>
          </w:r>
          <w:r>
            <w:fldChar w:fldCharType="end"/>
          </w:r>
          <w:r>
            <w:rPr>
              <w:szCs w:val="28"/>
            </w:rPr>
            <w:fldChar w:fldCharType="end"/>
          </w:r>
        </w:p>
        <w:p w14:paraId="56C446A7">
          <w:pPr>
            <w:pStyle w:val="26"/>
            <w:tabs>
              <w:tab w:val="right" w:leader="dot" w:pos="8731"/>
            </w:tabs>
          </w:pPr>
          <w:r>
            <w:rPr>
              <w:szCs w:val="28"/>
            </w:rPr>
            <w:fldChar w:fldCharType="begin"/>
          </w:r>
          <w:r>
            <w:rPr>
              <w:szCs w:val="28"/>
            </w:rPr>
            <w:instrText xml:space="preserve"> HYPERLINK \l _Toc6811 </w:instrText>
          </w:r>
          <w:r>
            <w:rPr>
              <w:szCs w:val="28"/>
            </w:rPr>
            <w:fldChar w:fldCharType="separate"/>
          </w:r>
          <w:r>
            <w:rPr>
              <w:rFonts w:hint="eastAsia"/>
              <w:lang w:val="en-US" w:eastAsia="zh-CN"/>
            </w:rPr>
            <w:t>5.2</w:t>
          </w:r>
          <w:r>
            <w:t>水利基础设施供水体系空间布局</w:t>
          </w:r>
          <w:r>
            <w:tab/>
          </w:r>
          <w:r>
            <w:fldChar w:fldCharType="begin"/>
          </w:r>
          <w:r>
            <w:instrText xml:space="preserve"> PAGEREF _Toc6811 \h </w:instrText>
          </w:r>
          <w:r>
            <w:fldChar w:fldCharType="separate"/>
          </w:r>
          <w:r>
            <w:t>56</w:t>
          </w:r>
          <w:r>
            <w:fldChar w:fldCharType="end"/>
          </w:r>
          <w:r>
            <w:rPr>
              <w:szCs w:val="28"/>
            </w:rPr>
            <w:fldChar w:fldCharType="end"/>
          </w:r>
        </w:p>
        <w:p w14:paraId="0B6044B9">
          <w:pPr>
            <w:pStyle w:val="26"/>
            <w:tabs>
              <w:tab w:val="right" w:leader="dot" w:pos="8731"/>
            </w:tabs>
          </w:pPr>
          <w:r>
            <w:rPr>
              <w:szCs w:val="28"/>
            </w:rPr>
            <w:fldChar w:fldCharType="begin"/>
          </w:r>
          <w:r>
            <w:rPr>
              <w:szCs w:val="28"/>
            </w:rPr>
            <w:instrText xml:space="preserve"> HYPERLINK \l _Toc31441 </w:instrText>
          </w:r>
          <w:r>
            <w:rPr>
              <w:szCs w:val="28"/>
            </w:rPr>
            <w:fldChar w:fldCharType="separate"/>
          </w:r>
          <w:r>
            <w:rPr>
              <w:rFonts w:hint="eastAsia"/>
              <w:lang w:val="en-US" w:eastAsia="zh-CN"/>
            </w:rPr>
            <w:t>5.3</w:t>
          </w:r>
          <w:r>
            <w:t>水利基础设施防洪空间布局</w:t>
          </w:r>
          <w:r>
            <w:tab/>
          </w:r>
          <w:r>
            <w:fldChar w:fldCharType="begin"/>
          </w:r>
          <w:r>
            <w:instrText xml:space="preserve"> PAGEREF _Toc31441 \h </w:instrText>
          </w:r>
          <w:r>
            <w:fldChar w:fldCharType="separate"/>
          </w:r>
          <w:r>
            <w:t>57</w:t>
          </w:r>
          <w:r>
            <w:fldChar w:fldCharType="end"/>
          </w:r>
          <w:r>
            <w:rPr>
              <w:szCs w:val="28"/>
            </w:rPr>
            <w:fldChar w:fldCharType="end"/>
          </w:r>
        </w:p>
        <w:p w14:paraId="5DBED597">
          <w:pPr>
            <w:pStyle w:val="23"/>
            <w:tabs>
              <w:tab w:val="right" w:leader="dot" w:pos="8731"/>
            </w:tabs>
          </w:pPr>
          <w:r>
            <w:rPr>
              <w:szCs w:val="28"/>
            </w:rPr>
            <w:fldChar w:fldCharType="begin"/>
          </w:r>
          <w:r>
            <w:rPr>
              <w:szCs w:val="28"/>
            </w:rPr>
            <w:instrText xml:space="preserve"> HYPERLINK \l _Toc16104 </w:instrText>
          </w:r>
          <w:r>
            <w:rPr>
              <w:szCs w:val="28"/>
            </w:rPr>
            <w:fldChar w:fldCharType="separate"/>
          </w:r>
          <w:r>
            <w:rPr>
              <w:rFonts w:hint="eastAsia"/>
              <w:lang w:val="en-US" w:eastAsia="zh-CN"/>
            </w:rPr>
            <w:t>6</w:t>
          </w:r>
          <w:r>
            <w:t>已建在建水利基础设施空间及用地</w:t>
          </w:r>
          <w:r>
            <w:tab/>
          </w:r>
          <w:r>
            <w:fldChar w:fldCharType="begin"/>
          </w:r>
          <w:r>
            <w:instrText xml:space="preserve"> PAGEREF _Toc16104 \h </w:instrText>
          </w:r>
          <w:r>
            <w:fldChar w:fldCharType="separate"/>
          </w:r>
          <w:r>
            <w:t>59</w:t>
          </w:r>
          <w:r>
            <w:fldChar w:fldCharType="end"/>
          </w:r>
          <w:r>
            <w:rPr>
              <w:szCs w:val="28"/>
            </w:rPr>
            <w:fldChar w:fldCharType="end"/>
          </w:r>
        </w:p>
        <w:p w14:paraId="196F2DAB">
          <w:pPr>
            <w:pStyle w:val="26"/>
            <w:tabs>
              <w:tab w:val="right" w:leader="dot" w:pos="8731"/>
            </w:tabs>
          </w:pPr>
          <w:r>
            <w:rPr>
              <w:szCs w:val="28"/>
            </w:rPr>
            <w:fldChar w:fldCharType="begin"/>
          </w:r>
          <w:r>
            <w:rPr>
              <w:szCs w:val="28"/>
            </w:rPr>
            <w:instrText xml:space="preserve"> HYPERLINK \l _Toc28074 </w:instrText>
          </w:r>
          <w:r>
            <w:rPr>
              <w:szCs w:val="28"/>
            </w:rPr>
            <w:fldChar w:fldCharType="separate"/>
          </w:r>
          <w:r>
            <w:rPr>
              <w:rFonts w:hint="eastAsia"/>
              <w:lang w:val="en-US" w:eastAsia="zh-CN"/>
            </w:rPr>
            <w:t>6.1</w:t>
          </w:r>
          <w:r>
            <w:t>已建水利基础设施状况</w:t>
          </w:r>
          <w:r>
            <w:tab/>
          </w:r>
          <w:r>
            <w:fldChar w:fldCharType="begin"/>
          </w:r>
          <w:r>
            <w:instrText xml:space="preserve"> PAGEREF _Toc28074 \h </w:instrText>
          </w:r>
          <w:r>
            <w:fldChar w:fldCharType="separate"/>
          </w:r>
          <w:r>
            <w:t>59</w:t>
          </w:r>
          <w:r>
            <w:fldChar w:fldCharType="end"/>
          </w:r>
          <w:r>
            <w:rPr>
              <w:szCs w:val="28"/>
            </w:rPr>
            <w:fldChar w:fldCharType="end"/>
          </w:r>
        </w:p>
        <w:p w14:paraId="58A986AB">
          <w:pPr>
            <w:pStyle w:val="26"/>
            <w:tabs>
              <w:tab w:val="right" w:leader="dot" w:pos="8731"/>
            </w:tabs>
          </w:pPr>
          <w:r>
            <w:rPr>
              <w:szCs w:val="28"/>
            </w:rPr>
            <w:fldChar w:fldCharType="begin"/>
          </w:r>
          <w:r>
            <w:rPr>
              <w:szCs w:val="28"/>
            </w:rPr>
            <w:instrText xml:space="preserve"> HYPERLINK \l _Toc13506 </w:instrText>
          </w:r>
          <w:r>
            <w:rPr>
              <w:szCs w:val="28"/>
            </w:rPr>
            <w:fldChar w:fldCharType="separate"/>
          </w:r>
          <w:r>
            <w:rPr>
              <w:rFonts w:hint="eastAsia"/>
              <w:lang w:val="en-US" w:eastAsia="zh-CN"/>
            </w:rPr>
            <w:t>6.2</w:t>
          </w:r>
          <w:r>
            <w:t>已建水利基础设施规模及用地情况</w:t>
          </w:r>
          <w:r>
            <w:tab/>
          </w:r>
          <w:r>
            <w:fldChar w:fldCharType="begin"/>
          </w:r>
          <w:r>
            <w:instrText xml:space="preserve"> PAGEREF _Toc13506 \h </w:instrText>
          </w:r>
          <w:r>
            <w:fldChar w:fldCharType="separate"/>
          </w:r>
          <w:r>
            <w:t>61</w:t>
          </w:r>
          <w:r>
            <w:fldChar w:fldCharType="end"/>
          </w:r>
          <w:r>
            <w:rPr>
              <w:szCs w:val="28"/>
            </w:rPr>
            <w:fldChar w:fldCharType="end"/>
          </w:r>
        </w:p>
        <w:p w14:paraId="050A0734">
          <w:pPr>
            <w:pStyle w:val="26"/>
            <w:tabs>
              <w:tab w:val="right" w:leader="dot" w:pos="8731"/>
            </w:tabs>
          </w:pPr>
          <w:r>
            <w:rPr>
              <w:szCs w:val="28"/>
            </w:rPr>
            <w:fldChar w:fldCharType="begin"/>
          </w:r>
          <w:r>
            <w:rPr>
              <w:szCs w:val="28"/>
            </w:rPr>
            <w:instrText xml:space="preserve"> HYPERLINK \l _Toc22546 </w:instrText>
          </w:r>
          <w:r>
            <w:rPr>
              <w:szCs w:val="28"/>
            </w:rPr>
            <w:fldChar w:fldCharType="separate"/>
          </w:r>
          <w:r>
            <w:rPr>
              <w:rFonts w:hint="eastAsia"/>
              <w:lang w:val="en-US" w:eastAsia="zh-CN"/>
            </w:rPr>
            <w:t>6.3在</w:t>
          </w:r>
          <w:r>
            <w:t>建水利基础设施状况</w:t>
          </w:r>
          <w:r>
            <w:tab/>
          </w:r>
          <w:r>
            <w:fldChar w:fldCharType="begin"/>
          </w:r>
          <w:r>
            <w:instrText xml:space="preserve"> PAGEREF _Toc22546 \h </w:instrText>
          </w:r>
          <w:r>
            <w:fldChar w:fldCharType="separate"/>
          </w:r>
          <w:r>
            <w:t>70</w:t>
          </w:r>
          <w:r>
            <w:fldChar w:fldCharType="end"/>
          </w:r>
          <w:r>
            <w:rPr>
              <w:szCs w:val="28"/>
            </w:rPr>
            <w:fldChar w:fldCharType="end"/>
          </w:r>
        </w:p>
        <w:p w14:paraId="34C061C0">
          <w:pPr>
            <w:pStyle w:val="23"/>
            <w:tabs>
              <w:tab w:val="right" w:leader="dot" w:pos="8731"/>
            </w:tabs>
          </w:pPr>
          <w:r>
            <w:rPr>
              <w:szCs w:val="28"/>
            </w:rPr>
            <w:fldChar w:fldCharType="begin"/>
          </w:r>
          <w:r>
            <w:rPr>
              <w:szCs w:val="28"/>
            </w:rPr>
            <w:instrText xml:space="preserve"> HYPERLINK \l _Toc27719 </w:instrText>
          </w:r>
          <w:r>
            <w:rPr>
              <w:szCs w:val="28"/>
            </w:rPr>
            <w:fldChar w:fldCharType="separate"/>
          </w:r>
          <w:r>
            <w:rPr>
              <w:rFonts w:hint="eastAsia"/>
              <w:lang w:val="en-US" w:eastAsia="zh-CN"/>
            </w:rPr>
            <w:t>7</w:t>
          </w:r>
          <w:r>
            <w:t>规划水利基础设施空间用地预留</w:t>
          </w:r>
          <w:r>
            <w:tab/>
          </w:r>
          <w:r>
            <w:fldChar w:fldCharType="begin"/>
          </w:r>
          <w:r>
            <w:instrText xml:space="preserve"> PAGEREF _Toc27719 \h </w:instrText>
          </w:r>
          <w:r>
            <w:fldChar w:fldCharType="separate"/>
          </w:r>
          <w:r>
            <w:t>74</w:t>
          </w:r>
          <w:r>
            <w:fldChar w:fldCharType="end"/>
          </w:r>
          <w:r>
            <w:rPr>
              <w:szCs w:val="28"/>
            </w:rPr>
            <w:fldChar w:fldCharType="end"/>
          </w:r>
        </w:p>
        <w:p w14:paraId="07E6237D">
          <w:pPr>
            <w:pStyle w:val="26"/>
            <w:tabs>
              <w:tab w:val="right" w:leader="dot" w:pos="8731"/>
            </w:tabs>
          </w:pPr>
          <w:r>
            <w:rPr>
              <w:szCs w:val="28"/>
            </w:rPr>
            <w:fldChar w:fldCharType="begin"/>
          </w:r>
          <w:r>
            <w:rPr>
              <w:szCs w:val="28"/>
            </w:rPr>
            <w:instrText xml:space="preserve"> HYPERLINK \l _Toc15723 </w:instrText>
          </w:r>
          <w:r>
            <w:rPr>
              <w:szCs w:val="28"/>
            </w:rPr>
            <w:fldChar w:fldCharType="separate"/>
          </w:r>
          <w:r>
            <w:rPr>
              <w:rFonts w:hint="eastAsia"/>
              <w:lang w:val="en-US" w:eastAsia="zh-CN"/>
            </w:rPr>
            <w:t>7.1</w:t>
          </w:r>
          <w:r>
            <w:t>规划水利基础设施建设原则与要求</w:t>
          </w:r>
          <w:r>
            <w:tab/>
          </w:r>
          <w:r>
            <w:fldChar w:fldCharType="begin"/>
          </w:r>
          <w:r>
            <w:instrText xml:space="preserve"> PAGEREF _Toc15723 \h </w:instrText>
          </w:r>
          <w:r>
            <w:fldChar w:fldCharType="separate"/>
          </w:r>
          <w:r>
            <w:t>74</w:t>
          </w:r>
          <w:r>
            <w:fldChar w:fldCharType="end"/>
          </w:r>
          <w:r>
            <w:rPr>
              <w:szCs w:val="28"/>
            </w:rPr>
            <w:fldChar w:fldCharType="end"/>
          </w:r>
        </w:p>
        <w:p w14:paraId="377ED7E0">
          <w:pPr>
            <w:pStyle w:val="26"/>
            <w:tabs>
              <w:tab w:val="right" w:leader="dot" w:pos="8731"/>
            </w:tabs>
          </w:pPr>
          <w:r>
            <w:rPr>
              <w:szCs w:val="28"/>
            </w:rPr>
            <w:fldChar w:fldCharType="begin"/>
          </w:r>
          <w:r>
            <w:rPr>
              <w:szCs w:val="28"/>
            </w:rPr>
            <w:instrText xml:space="preserve"> HYPERLINK \l _Toc18469 </w:instrText>
          </w:r>
          <w:r>
            <w:rPr>
              <w:szCs w:val="28"/>
            </w:rPr>
            <w:fldChar w:fldCharType="separate"/>
          </w:r>
          <w:r>
            <w:rPr>
              <w:rFonts w:hint="eastAsia"/>
              <w:lang w:val="en-US" w:eastAsia="zh-CN"/>
            </w:rPr>
            <w:t>7.2</w:t>
          </w:r>
          <w:r>
            <w:t>规划水利基础设施及用地规模</w:t>
          </w:r>
          <w:r>
            <w:tab/>
          </w:r>
          <w:r>
            <w:fldChar w:fldCharType="begin"/>
          </w:r>
          <w:r>
            <w:instrText xml:space="preserve"> PAGEREF _Toc18469 \h </w:instrText>
          </w:r>
          <w:r>
            <w:fldChar w:fldCharType="separate"/>
          </w:r>
          <w:r>
            <w:t>76</w:t>
          </w:r>
          <w:r>
            <w:fldChar w:fldCharType="end"/>
          </w:r>
          <w:r>
            <w:rPr>
              <w:szCs w:val="28"/>
            </w:rPr>
            <w:fldChar w:fldCharType="end"/>
          </w:r>
        </w:p>
        <w:p w14:paraId="3697F230">
          <w:pPr>
            <w:pStyle w:val="26"/>
            <w:tabs>
              <w:tab w:val="right" w:leader="dot" w:pos="8731"/>
            </w:tabs>
          </w:pPr>
          <w:r>
            <w:rPr>
              <w:szCs w:val="28"/>
            </w:rPr>
            <w:fldChar w:fldCharType="begin"/>
          </w:r>
          <w:r>
            <w:rPr>
              <w:szCs w:val="28"/>
            </w:rPr>
            <w:instrText xml:space="preserve"> HYPERLINK \l _Toc30515 </w:instrText>
          </w:r>
          <w:r>
            <w:rPr>
              <w:szCs w:val="28"/>
            </w:rPr>
            <w:fldChar w:fldCharType="separate"/>
          </w:r>
          <w:r>
            <w:rPr>
              <w:rFonts w:hint="eastAsia"/>
              <w:lang w:val="en-US" w:eastAsia="zh-CN"/>
            </w:rPr>
            <w:t>7.3“</w:t>
          </w:r>
          <w:r>
            <w:t>十四五</w:t>
          </w:r>
          <w:r>
            <w:rPr>
              <w:rFonts w:hint="eastAsia"/>
              <w:lang w:val="en-US" w:eastAsia="zh-CN"/>
            </w:rPr>
            <w:t>”</w:t>
          </w:r>
          <w:r>
            <w:t>规划重点水利基础设施用地安排</w:t>
          </w:r>
          <w:r>
            <w:tab/>
          </w:r>
          <w:r>
            <w:fldChar w:fldCharType="begin"/>
          </w:r>
          <w:r>
            <w:instrText xml:space="preserve"> PAGEREF _Toc30515 \h </w:instrText>
          </w:r>
          <w:r>
            <w:fldChar w:fldCharType="separate"/>
          </w:r>
          <w:r>
            <w:t>80</w:t>
          </w:r>
          <w:r>
            <w:fldChar w:fldCharType="end"/>
          </w:r>
          <w:r>
            <w:rPr>
              <w:szCs w:val="28"/>
            </w:rPr>
            <w:fldChar w:fldCharType="end"/>
          </w:r>
        </w:p>
        <w:p w14:paraId="48768710">
          <w:pPr>
            <w:pStyle w:val="23"/>
            <w:tabs>
              <w:tab w:val="right" w:leader="dot" w:pos="8731"/>
            </w:tabs>
          </w:pPr>
          <w:r>
            <w:rPr>
              <w:szCs w:val="28"/>
            </w:rPr>
            <w:fldChar w:fldCharType="begin"/>
          </w:r>
          <w:r>
            <w:rPr>
              <w:szCs w:val="28"/>
            </w:rPr>
            <w:instrText xml:space="preserve"> HYPERLINK \l _Toc24391 </w:instrText>
          </w:r>
          <w:r>
            <w:rPr>
              <w:szCs w:val="28"/>
            </w:rPr>
            <w:fldChar w:fldCharType="separate"/>
          </w:r>
          <w:r>
            <w:rPr>
              <w:rFonts w:hint="eastAsia"/>
              <w:highlight w:val="none"/>
              <w:lang w:val="en-US" w:eastAsia="zh-CN"/>
            </w:rPr>
            <w:t>8</w:t>
          </w:r>
          <w:r>
            <w:rPr>
              <w:highlight w:val="none"/>
            </w:rPr>
            <w:t>涉水空间保护与修</w:t>
          </w:r>
          <w:r>
            <w:t>复</w:t>
          </w:r>
          <w:r>
            <w:tab/>
          </w:r>
          <w:r>
            <w:fldChar w:fldCharType="begin"/>
          </w:r>
          <w:r>
            <w:instrText xml:space="preserve"> PAGEREF _Toc24391 \h </w:instrText>
          </w:r>
          <w:r>
            <w:fldChar w:fldCharType="separate"/>
          </w:r>
          <w:r>
            <w:t>81</w:t>
          </w:r>
          <w:r>
            <w:fldChar w:fldCharType="end"/>
          </w:r>
          <w:r>
            <w:rPr>
              <w:szCs w:val="28"/>
            </w:rPr>
            <w:fldChar w:fldCharType="end"/>
          </w:r>
        </w:p>
        <w:p w14:paraId="017197EF">
          <w:pPr>
            <w:pStyle w:val="26"/>
            <w:tabs>
              <w:tab w:val="right" w:leader="dot" w:pos="8731"/>
            </w:tabs>
          </w:pPr>
          <w:r>
            <w:rPr>
              <w:szCs w:val="28"/>
            </w:rPr>
            <w:fldChar w:fldCharType="begin"/>
          </w:r>
          <w:r>
            <w:rPr>
              <w:szCs w:val="28"/>
            </w:rPr>
            <w:instrText xml:space="preserve"> HYPERLINK \l _Toc24197 </w:instrText>
          </w:r>
          <w:r>
            <w:rPr>
              <w:szCs w:val="28"/>
            </w:rPr>
            <w:fldChar w:fldCharType="separate"/>
          </w:r>
          <w:r>
            <w:rPr>
              <w:rFonts w:hint="eastAsia"/>
              <w:lang w:val="en-US" w:eastAsia="zh-CN"/>
            </w:rPr>
            <w:t>8.1</w:t>
          </w:r>
          <w:r>
            <w:t>河流水系生态廊道保护与修复</w:t>
          </w:r>
          <w:r>
            <w:tab/>
          </w:r>
          <w:r>
            <w:fldChar w:fldCharType="begin"/>
          </w:r>
          <w:r>
            <w:instrText xml:space="preserve"> PAGEREF _Toc24197 \h </w:instrText>
          </w:r>
          <w:r>
            <w:fldChar w:fldCharType="separate"/>
          </w:r>
          <w:r>
            <w:t>82</w:t>
          </w:r>
          <w:r>
            <w:fldChar w:fldCharType="end"/>
          </w:r>
          <w:r>
            <w:rPr>
              <w:szCs w:val="28"/>
            </w:rPr>
            <w:fldChar w:fldCharType="end"/>
          </w:r>
        </w:p>
        <w:p w14:paraId="12B35755">
          <w:pPr>
            <w:pStyle w:val="26"/>
            <w:tabs>
              <w:tab w:val="right" w:leader="dot" w:pos="8731"/>
            </w:tabs>
          </w:pPr>
          <w:r>
            <w:rPr>
              <w:szCs w:val="28"/>
            </w:rPr>
            <w:fldChar w:fldCharType="begin"/>
          </w:r>
          <w:r>
            <w:rPr>
              <w:szCs w:val="28"/>
            </w:rPr>
            <w:instrText xml:space="preserve"> HYPERLINK \l _Toc13511 </w:instrText>
          </w:r>
          <w:r>
            <w:rPr>
              <w:szCs w:val="28"/>
            </w:rPr>
            <w:fldChar w:fldCharType="separate"/>
          </w:r>
          <w:r>
            <w:rPr>
              <w:rFonts w:hint="eastAsia"/>
              <w:lang w:val="en-US" w:eastAsia="zh-CN"/>
            </w:rPr>
            <w:t>8.2</w:t>
          </w:r>
          <w:r>
            <w:t>重要水源涵养区治理保护</w:t>
          </w:r>
          <w:r>
            <w:tab/>
          </w:r>
          <w:r>
            <w:fldChar w:fldCharType="begin"/>
          </w:r>
          <w:r>
            <w:instrText xml:space="preserve"> PAGEREF _Toc13511 \h </w:instrText>
          </w:r>
          <w:r>
            <w:fldChar w:fldCharType="separate"/>
          </w:r>
          <w:r>
            <w:t>86</w:t>
          </w:r>
          <w:r>
            <w:fldChar w:fldCharType="end"/>
          </w:r>
          <w:r>
            <w:rPr>
              <w:szCs w:val="28"/>
            </w:rPr>
            <w:fldChar w:fldCharType="end"/>
          </w:r>
        </w:p>
        <w:p w14:paraId="0D890D8B">
          <w:pPr>
            <w:pStyle w:val="26"/>
            <w:tabs>
              <w:tab w:val="right" w:leader="dot" w:pos="8731"/>
            </w:tabs>
          </w:pPr>
          <w:r>
            <w:rPr>
              <w:szCs w:val="28"/>
            </w:rPr>
            <w:fldChar w:fldCharType="begin"/>
          </w:r>
          <w:r>
            <w:rPr>
              <w:szCs w:val="28"/>
            </w:rPr>
            <w:instrText xml:space="preserve"> HYPERLINK \l _Toc1724 </w:instrText>
          </w:r>
          <w:r>
            <w:rPr>
              <w:szCs w:val="28"/>
            </w:rPr>
            <w:fldChar w:fldCharType="separate"/>
          </w:r>
          <w:r>
            <w:rPr>
              <w:rFonts w:hint="eastAsia"/>
              <w:lang w:val="en-US" w:eastAsia="zh-CN"/>
            </w:rPr>
            <w:t>8.3</w:t>
          </w:r>
          <w:r>
            <w:t>重要饮用水水源地治理保护</w:t>
          </w:r>
          <w:r>
            <w:tab/>
          </w:r>
          <w:r>
            <w:fldChar w:fldCharType="begin"/>
          </w:r>
          <w:r>
            <w:instrText xml:space="preserve"> PAGEREF _Toc1724 \h </w:instrText>
          </w:r>
          <w:r>
            <w:fldChar w:fldCharType="separate"/>
          </w:r>
          <w:r>
            <w:t>89</w:t>
          </w:r>
          <w:r>
            <w:fldChar w:fldCharType="end"/>
          </w:r>
          <w:r>
            <w:rPr>
              <w:szCs w:val="28"/>
            </w:rPr>
            <w:fldChar w:fldCharType="end"/>
          </w:r>
        </w:p>
        <w:p w14:paraId="6A85C152">
          <w:pPr>
            <w:pStyle w:val="26"/>
            <w:tabs>
              <w:tab w:val="right" w:leader="dot" w:pos="8731"/>
            </w:tabs>
          </w:pPr>
          <w:r>
            <w:rPr>
              <w:szCs w:val="28"/>
            </w:rPr>
            <w:fldChar w:fldCharType="begin"/>
          </w:r>
          <w:r>
            <w:rPr>
              <w:szCs w:val="28"/>
            </w:rPr>
            <w:instrText xml:space="preserve"> HYPERLINK \l _Toc24734 </w:instrText>
          </w:r>
          <w:r>
            <w:rPr>
              <w:szCs w:val="28"/>
            </w:rPr>
            <w:fldChar w:fldCharType="separate"/>
          </w:r>
          <w:r>
            <w:rPr>
              <w:rFonts w:hint="eastAsia"/>
              <w:lang w:val="en-US" w:eastAsia="zh-CN"/>
            </w:rPr>
            <w:t>8.4</w:t>
          </w:r>
          <w:r>
            <w:t>地下水超采区综合治理</w:t>
          </w:r>
          <w:r>
            <w:tab/>
          </w:r>
          <w:r>
            <w:fldChar w:fldCharType="begin"/>
          </w:r>
          <w:r>
            <w:instrText xml:space="preserve"> PAGEREF _Toc24734 \h </w:instrText>
          </w:r>
          <w:r>
            <w:fldChar w:fldCharType="separate"/>
          </w:r>
          <w:r>
            <w:t>104</w:t>
          </w:r>
          <w:r>
            <w:fldChar w:fldCharType="end"/>
          </w:r>
          <w:r>
            <w:rPr>
              <w:szCs w:val="28"/>
            </w:rPr>
            <w:fldChar w:fldCharType="end"/>
          </w:r>
        </w:p>
        <w:p w14:paraId="7FA1A588">
          <w:pPr>
            <w:pStyle w:val="23"/>
            <w:tabs>
              <w:tab w:val="right" w:leader="dot" w:pos="8731"/>
            </w:tabs>
          </w:pPr>
          <w:r>
            <w:rPr>
              <w:szCs w:val="28"/>
            </w:rPr>
            <w:fldChar w:fldCharType="begin"/>
          </w:r>
          <w:r>
            <w:rPr>
              <w:szCs w:val="28"/>
            </w:rPr>
            <w:instrText xml:space="preserve"> HYPERLINK \l _Toc14824 </w:instrText>
          </w:r>
          <w:r>
            <w:rPr>
              <w:szCs w:val="28"/>
            </w:rPr>
            <w:fldChar w:fldCharType="separate"/>
          </w:r>
          <w:r>
            <w:rPr>
              <w:rFonts w:hint="eastAsia"/>
              <w:lang w:val="en-US" w:eastAsia="zh-CN"/>
            </w:rPr>
            <w:t>9空间协调分析</w:t>
          </w:r>
          <w:r>
            <w:tab/>
          </w:r>
          <w:r>
            <w:fldChar w:fldCharType="begin"/>
          </w:r>
          <w:r>
            <w:instrText xml:space="preserve"> PAGEREF _Toc14824 \h </w:instrText>
          </w:r>
          <w:r>
            <w:fldChar w:fldCharType="separate"/>
          </w:r>
          <w:r>
            <w:t>113</w:t>
          </w:r>
          <w:r>
            <w:fldChar w:fldCharType="end"/>
          </w:r>
          <w:r>
            <w:rPr>
              <w:szCs w:val="28"/>
            </w:rPr>
            <w:fldChar w:fldCharType="end"/>
          </w:r>
        </w:p>
        <w:p w14:paraId="00CA8D7A">
          <w:pPr>
            <w:pStyle w:val="26"/>
            <w:tabs>
              <w:tab w:val="right" w:leader="dot" w:pos="8731"/>
            </w:tabs>
          </w:pPr>
          <w:r>
            <w:rPr>
              <w:szCs w:val="28"/>
            </w:rPr>
            <w:fldChar w:fldCharType="begin"/>
          </w:r>
          <w:r>
            <w:rPr>
              <w:szCs w:val="28"/>
            </w:rPr>
            <w:instrText xml:space="preserve"> HYPERLINK \l _Toc13994 </w:instrText>
          </w:r>
          <w:r>
            <w:rPr>
              <w:szCs w:val="28"/>
            </w:rPr>
            <w:fldChar w:fldCharType="separate"/>
          </w:r>
          <w:r>
            <w:rPr>
              <w:rFonts w:hint="eastAsia"/>
              <w:lang w:val="en-US" w:eastAsia="zh-CN"/>
            </w:rPr>
            <w:t>9.1 涉水国土空间功能协调</w:t>
          </w:r>
          <w:r>
            <w:tab/>
          </w:r>
          <w:r>
            <w:fldChar w:fldCharType="begin"/>
          </w:r>
          <w:r>
            <w:instrText xml:space="preserve"> PAGEREF _Toc13994 \h </w:instrText>
          </w:r>
          <w:r>
            <w:fldChar w:fldCharType="separate"/>
          </w:r>
          <w:r>
            <w:t>113</w:t>
          </w:r>
          <w:r>
            <w:fldChar w:fldCharType="end"/>
          </w:r>
          <w:r>
            <w:rPr>
              <w:szCs w:val="28"/>
            </w:rPr>
            <w:fldChar w:fldCharType="end"/>
          </w:r>
        </w:p>
        <w:p w14:paraId="27C83D0C">
          <w:pPr>
            <w:pStyle w:val="26"/>
            <w:tabs>
              <w:tab w:val="right" w:leader="dot" w:pos="8731"/>
            </w:tabs>
          </w:pPr>
          <w:r>
            <w:rPr>
              <w:szCs w:val="28"/>
            </w:rPr>
            <w:fldChar w:fldCharType="begin"/>
          </w:r>
          <w:r>
            <w:rPr>
              <w:szCs w:val="28"/>
            </w:rPr>
            <w:instrText xml:space="preserve"> HYPERLINK \l _Toc11833 </w:instrText>
          </w:r>
          <w:r>
            <w:rPr>
              <w:szCs w:val="28"/>
            </w:rPr>
            <w:fldChar w:fldCharType="separate"/>
          </w:r>
          <w:r>
            <w:rPr>
              <w:rFonts w:hint="eastAsia"/>
              <w:lang w:val="en-US" w:eastAsia="zh-CN"/>
            </w:rPr>
            <w:t>9.2 水利基础设施与“</w:t>
          </w:r>
          <w:r>
            <w:rPr>
              <w:rFonts w:hint="default"/>
              <w:lang w:val="en-US" w:eastAsia="zh-CN"/>
            </w:rPr>
            <w:t>三区三线”协调性分析</w:t>
          </w:r>
          <w:r>
            <w:tab/>
          </w:r>
          <w:r>
            <w:fldChar w:fldCharType="begin"/>
          </w:r>
          <w:r>
            <w:instrText xml:space="preserve"> PAGEREF _Toc11833 \h </w:instrText>
          </w:r>
          <w:r>
            <w:fldChar w:fldCharType="separate"/>
          </w:r>
          <w:r>
            <w:t>116</w:t>
          </w:r>
          <w:r>
            <w:fldChar w:fldCharType="end"/>
          </w:r>
          <w:r>
            <w:rPr>
              <w:szCs w:val="28"/>
            </w:rPr>
            <w:fldChar w:fldCharType="end"/>
          </w:r>
        </w:p>
        <w:p w14:paraId="28BD76C6">
          <w:pPr>
            <w:pStyle w:val="23"/>
            <w:tabs>
              <w:tab w:val="right" w:leader="dot" w:pos="8731"/>
            </w:tabs>
          </w:pPr>
          <w:r>
            <w:rPr>
              <w:szCs w:val="28"/>
            </w:rPr>
            <w:fldChar w:fldCharType="begin"/>
          </w:r>
          <w:r>
            <w:rPr>
              <w:szCs w:val="28"/>
            </w:rPr>
            <w:instrText xml:space="preserve"> HYPERLINK \l _Toc9979 </w:instrText>
          </w:r>
          <w:r>
            <w:rPr>
              <w:szCs w:val="28"/>
            </w:rPr>
            <w:fldChar w:fldCharType="separate"/>
          </w:r>
          <w:r>
            <w:rPr>
              <w:rFonts w:hint="eastAsia"/>
              <w:lang w:val="en-US" w:eastAsia="zh-CN"/>
            </w:rPr>
            <w:t>10</w:t>
          </w:r>
          <w:r>
            <w:t>涉</w:t>
          </w:r>
          <w:r>
            <w:rPr>
              <w:highlight w:val="none"/>
            </w:rPr>
            <w:t>水空间管控与保护</w:t>
          </w:r>
          <w:r>
            <w:tab/>
          </w:r>
          <w:r>
            <w:fldChar w:fldCharType="begin"/>
          </w:r>
          <w:r>
            <w:instrText xml:space="preserve"> PAGEREF _Toc9979 \h </w:instrText>
          </w:r>
          <w:r>
            <w:fldChar w:fldCharType="separate"/>
          </w:r>
          <w:r>
            <w:t>120</w:t>
          </w:r>
          <w:r>
            <w:fldChar w:fldCharType="end"/>
          </w:r>
          <w:r>
            <w:rPr>
              <w:szCs w:val="28"/>
            </w:rPr>
            <w:fldChar w:fldCharType="end"/>
          </w:r>
        </w:p>
        <w:p w14:paraId="74B857ED">
          <w:pPr>
            <w:pStyle w:val="26"/>
            <w:tabs>
              <w:tab w:val="right" w:leader="dot" w:pos="8731"/>
            </w:tabs>
          </w:pPr>
          <w:r>
            <w:rPr>
              <w:szCs w:val="28"/>
            </w:rPr>
            <w:fldChar w:fldCharType="begin"/>
          </w:r>
          <w:r>
            <w:rPr>
              <w:szCs w:val="28"/>
            </w:rPr>
            <w:instrText xml:space="preserve"> HYPERLINK \l _Toc25494 </w:instrText>
          </w:r>
          <w:r>
            <w:rPr>
              <w:szCs w:val="28"/>
            </w:rPr>
            <w:fldChar w:fldCharType="separate"/>
          </w:r>
          <w:r>
            <w:rPr>
              <w:rFonts w:hint="eastAsia"/>
              <w:lang w:val="en-US" w:eastAsia="zh-CN"/>
            </w:rPr>
            <w:t>10.1</w:t>
          </w:r>
          <w:r>
            <w:t>水资源管控</w:t>
          </w:r>
          <w:r>
            <w:tab/>
          </w:r>
          <w:r>
            <w:fldChar w:fldCharType="begin"/>
          </w:r>
          <w:r>
            <w:instrText xml:space="preserve"> PAGEREF _Toc25494 \h </w:instrText>
          </w:r>
          <w:r>
            <w:fldChar w:fldCharType="separate"/>
          </w:r>
          <w:r>
            <w:t>120</w:t>
          </w:r>
          <w:r>
            <w:fldChar w:fldCharType="end"/>
          </w:r>
          <w:r>
            <w:rPr>
              <w:szCs w:val="28"/>
            </w:rPr>
            <w:fldChar w:fldCharType="end"/>
          </w:r>
        </w:p>
        <w:p w14:paraId="7BF10F8E">
          <w:pPr>
            <w:pStyle w:val="26"/>
            <w:tabs>
              <w:tab w:val="right" w:leader="dot" w:pos="8731"/>
            </w:tabs>
          </w:pPr>
          <w:r>
            <w:rPr>
              <w:szCs w:val="28"/>
            </w:rPr>
            <w:fldChar w:fldCharType="begin"/>
          </w:r>
          <w:r>
            <w:rPr>
              <w:szCs w:val="28"/>
            </w:rPr>
            <w:instrText xml:space="preserve"> HYPERLINK \l _Toc10641 </w:instrText>
          </w:r>
          <w:r>
            <w:rPr>
              <w:szCs w:val="28"/>
            </w:rPr>
            <w:fldChar w:fldCharType="separate"/>
          </w:r>
          <w:r>
            <w:rPr>
              <w:rFonts w:hint="eastAsia"/>
              <w:lang w:val="en-US" w:eastAsia="zh-CN"/>
            </w:rPr>
            <w:t>10.2</w:t>
          </w:r>
          <w:r>
            <w:t>涉水空间管控和保护</w:t>
          </w:r>
          <w:r>
            <w:tab/>
          </w:r>
          <w:r>
            <w:fldChar w:fldCharType="begin"/>
          </w:r>
          <w:r>
            <w:instrText xml:space="preserve"> PAGEREF _Toc10641 \h </w:instrText>
          </w:r>
          <w:r>
            <w:fldChar w:fldCharType="separate"/>
          </w:r>
          <w:r>
            <w:t>120</w:t>
          </w:r>
          <w:r>
            <w:fldChar w:fldCharType="end"/>
          </w:r>
          <w:r>
            <w:rPr>
              <w:szCs w:val="28"/>
            </w:rPr>
            <w:fldChar w:fldCharType="end"/>
          </w:r>
        </w:p>
        <w:p w14:paraId="58AB7979">
          <w:pPr>
            <w:pStyle w:val="26"/>
            <w:tabs>
              <w:tab w:val="right" w:leader="dot" w:pos="8731"/>
            </w:tabs>
          </w:pPr>
          <w:r>
            <w:rPr>
              <w:szCs w:val="28"/>
            </w:rPr>
            <w:fldChar w:fldCharType="begin"/>
          </w:r>
          <w:r>
            <w:rPr>
              <w:szCs w:val="28"/>
            </w:rPr>
            <w:instrText xml:space="preserve"> HYPERLINK \l _Toc21227 </w:instrText>
          </w:r>
          <w:r>
            <w:rPr>
              <w:szCs w:val="28"/>
            </w:rPr>
            <w:fldChar w:fldCharType="separate"/>
          </w:r>
          <w:r>
            <w:rPr>
              <w:rFonts w:hint="eastAsia"/>
              <w:lang w:val="en-US" w:eastAsia="zh-CN"/>
            </w:rPr>
            <w:t>10.3</w:t>
          </w:r>
          <w:r>
            <w:t>水利基础设施用地空间管控</w:t>
          </w:r>
          <w:r>
            <w:tab/>
          </w:r>
          <w:r>
            <w:fldChar w:fldCharType="begin"/>
          </w:r>
          <w:r>
            <w:instrText xml:space="preserve"> PAGEREF _Toc21227 \h </w:instrText>
          </w:r>
          <w:r>
            <w:fldChar w:fldCharType="separate"/>
          </w:r>
          <w:r>
            <w:t>123</w:t>
          </w:r>
          <w:r>
            <w:fldChar w:fldCharType="end"/>
          </w:r>
          <w:r>
            <w:rPr>
              <w:szCs w:val="28"/>
            </w:rPr>
            <w:fldChar w:fldCharType="end"/>
          </w:r>
        </w:p>
        <w:p w14:paraId="02283A5B">
          <w:pPr>
            <w:pStyle w:val="26"/>
            <w:tabs>
              <w:tab w:val="right" w:leader="dot" w:pos="8731"/>
            </w:tabs>
          </w:pPr>
          <w:r>
            <w:rPr>
              <w:szCs w:val="28"/>
            </w:rPr>
            <w:fldChar w:fldCharType="begin"/>
          </w:r>
          <w:r>
            <w:rPr>
              <w:szCs w:val="28"/>
            </w:rPr>
            <w:instrText xml:space="preserve"> HYPERLINK \l _Toc22762 </w:instrText>
          </w:r>
          <w:r>
            <w:rPr>
              <w:szCs w:val="28"/>
            </w:rPr>
            <w:fldChar w:fldCharType="separate"/>
          </w:r>
          <w:r>
            <w:rPr>
              <w:rFonts w:hint="eastAsia"/>
              <w:lang w:val="en-US" w:eastAsia="zh-CN"/>
            </w:rPr>
            <w:t>10.4</w:t>
          </w:r>
          <w:r>
            <w:t>涉水空间监控监测体系建设</w:t>
          </w:r>
          <w:r>
            <w:tab/>
          </w:r>
          <w:r>
            <w:fldChar w:fldCharType="begin"/>
          </w:r>
          <w:r>
            <w:instrText xml:space="preserve"> PAGEREF _Toc22762 \h </w:instrText>
          </w:r>
          <w:r>
            <w:fldChar w:fldCharType="separate"/>
          </w:r>
          <w:r>
            <w:t>124</w:t>
          </w:r>
          <w:r>
            <w:fldChar w:fldCharType="end"/>
          </w:r>
          <w:r>
            <w:rPr>
              <w:szCs w:val="28"/>
            </w:rPr>
            <w:fldChar w:fldCharType="end"/>
          </w:r>
        </w:p>
        <w:p w14:paraId="1AFB0E86">
          <w:pPr>
            <w:pStyle w:val="26"/>
            <w:tabs>
              <w:tab w:val="right" w:leader="dot" w:pos="8731"/>
            </w:tabs>
          </w:pPr>
          <w:r>
            <w:rPr>
              <w:szCs w:val="28"/>
            </w:rPr>
            <w:fldChar w:fldCharType="begin"/>
          </w:r>
          <w:r>
            <w:rPr>
              <w:szCs w:val="28"/>
            </w:rPr>
            <w:instrText xml:space="preserve"> HYPERLINK \l _Toc9468 </w:instrText>
          </w:r>
          <w:r>
            <w:rPr>
              <w:szCs w:val="28"/>
            </w:rPr>
            <w:fldChar w:fldCharType="separate"/>
          </w:r>
          <w:r>
            <w:rPr>
              <w:rFonts w:hint="eastAsia"/>
              <w:lang w:val="en-US" w:eastAsia="zh-CN"/>
            </w:rPr>
            <w:t>10.5</w:t>
          </w:r>
          <w:r>
            <w:t>涉水空间管控制度建设</w:t>
          </w:r>
          <w:r>
            <w:tab/>
          </w:r>
          <w:r>
            <w:fldChar w:fldCharType="begin"/>
          </w:r>
          <w:r>
            <w:instrText xml:space="preserve"> PAGEREF _Toc9468 \h </w:instrText>
          </w:r>
          <w:r>
            <w:fldChar w:fldCharType="separate"/>
          </w:r>
          <w:r>
            <w:t>124</w:t>
          </w:r>
          <w:r>
            <w:fldChar w:fldCharType="end"/>
          </w:r>
          <w:r>
            <w:rPr>
              <w:szCs w:val="28"/>
            </w:rPr>
            <w:fldChar w:fldCharType="end"/>
          </w:r>
        </w:p>
        <w:p w14:paraId="7EDC94D1">
          <w:pPr>
            <w:pStyle w:val="23"/>
            <w:tabs>
              <w:tab w:val="right" w:leader="dot" w:pos="8731"/>
            </w:tabs>
          </w:pPr>
          <w:r>
            <w:rPr>
              <w:szCs w:val="28"/>
            </w:rPr>
            <w:fldChar w:fldCharType="begin"/>
          </w:r>
          <w:r>
            <w:rPr>
              <w:szCs w:val="28"/>
            </w:rPr>
            <w:instrText xml:space="preserve"> HYPERLINK \l _Toc14858 </w:instrText>
          </w:r>
          <w:r>
            <w:rPr>
              <w:szCs w:val="28"/>
            </w:rPr>
            <w:fldChar w:fldCharType="separate"/>
          </w:r>
          <w:r>
            <w:rPr>
              <w:rFonts w:hint="eastAsia"/>
              <w:lang w:val="en-US" w:eastAsia="zh-CN"/>
            </w:rPr>
            <w:t>11</w:t>
          </w:r>
          <w:r>
            <w:t>保障措施</w:t>
          </w:r>
          <w:r>
            <w:tab/>
          </w:r>
          <w:r>
            <w:fldChar w:fldCharType="begin"/>
          </w:r>
          <w:r>
            <w:instrText xml:space="preserve"> PAGEREF _Toc14858 \h </w:instrText>
          </w:r>
          <w:r>
            <w:fldChar w:fldCharType="separate"/>
          </w:r>
          <w:r>
            <w:t>125</w:t>
          </w:r>
          <w:r>
            <w:fldChar w:fldCharType="end"/>
          </w:r>
          <w:r>
            <w:rPr>
              <w:szCs w:val="28"/>
            </w:rPr>
            <w:fldChar w:fldCharType="end"/>
          </w:r>
        </w:p>
        <w:p w14:paraId="4A7331B1">
          <w:pPr>
            <w:pStyle w:val="26"/>
            <w:tabs>
              <w:tab w:val="right" w:leader="dot" w:pos="8731"/>
            </w:tabs>
          </w:pPr>
          <w:r>
            <w:rPr>
              <w:szCs w:val="28"/>
            </w:rPr>
            <w:fldChar w:fldCharType="begin"/>
          </w:r>
          <w:r>
            <w:rPr>
              <w:szCs w:val="28"/>
            </w:rPr>
            <w:instrText xml:space="preserve"> HYPERLINK \l _Toc5310 </w:instrText>
          </w:r>
          <w:r>
            <w:rPr>
              <w:szCs w:val="28"/>
            </w:rPr>
            <w:fldChar w:fldCharType="separate"/>
          </w:r>
          <w:r>
            <w:rPr>
              <w:rFonts w:hint="eastAsia"/>
              <w:lang w:val="en-US" w:eastAsia="zh-CN"/>
            </w:rPr>
            <w:t>11.1</w:t>
          </w:r>
          <w:r>
            <w:t>强化组织保障</w:t>
          </w:r>
          <w:r>
            <w:tab/>
          </w:r>
          <w:r>
            <w:fldChar w:fldCharType="begin"/>
          </w:r>
          <w:r>
            <w:instrText xml:space="preserve"> PAGEREF _Toc5310 \h </w:instrText>
          </w:r>
          <w:r>
            <w:fldChar w:fldCharType="separate"/>
          </w:r>
          <w:r>
            <w:t>125</w:t>
          </w:r>
          <w:r>
            <w:fldChar w:fldCharType="end"/>
          </w:r>
          <w:r>
            <w:rPr>
              <w:szCs w:val="28"/>
            </w:rPr>
            <w:fldChar w:fldCharType="end"/>
          </w:r>
        </w:p>
        <w:p w14:paraId="75F5C18C">
          <w:pPr>
            <w:pStyle w:val="26"/>
            <w:tabs>
              <w:tab w:val="right" w:leader="dot" w:pos="8731"/>
            </w:tabs>
          </w:pPr>
          <w:r>
            <w:rPr>
              <w:szCs w:val="28"/>
            </w:rPr>
            <w:fldChar w:fldCharType="begin"/>
          </w:r>
          <w:r>
            <w:rPr>
              <w:szCs w:val="28"/>
            </w:rPr>
            <w:instrText xml:space="preserve"> HYPERLINK \l _Toc26103 </w:instrText>
          </w:r>
          <w:r>
            <w:rPr>
              <w:szCs w:val="28"/>
            </w:rPr>
            <w:fldChar w:fldCharType="separate"/>
          </w:r>
          <w:r>
            <w:rPr>
              <w:rFonts w:hint="eastAsia"/>
              <w:lang w:val="en-US" w:eastAsia="zh-CN"/>
            </w:rPr>
            <w:t>11.2</w:t>
          </w:r>
          <w:r>
            <w:t>落实目标责任</w:t>
          </w:r>
          <w:r>
            <w:tab/>
          </w:r>
          <w:r>
            <w:fldChar w:fldCharType="begin"/>
          </w:r>
          <w:r>
            <w:instrText xml:space="preserve"> PAGEREF _Toc26103 \h </w:instrText>
          </w:r>
          <w:r>
            <w:fldChar w:fldCharType="separate"/>
          </w:r>
          <w:r>
            <w:t>126</w:t>
          </w:r>
          <w:r>
            <w:fldChar w:fldCharType="end"/>
          </w:r>
          <w:r>
            <w:rPr>
              <w:szCs w:val="28"/>
            </w:rPr>
            <w:fldChar w:fldCharType="end"/>
          </w:r>
        </w:p>
        <w:p w14:paraId="6848B12E">
          <w:pPr>
            <w:pStyle w:val="26"/>
            <w:tabs>
              <w:tab w:val="right" w:leader="dot" w:pos="8731"/>
            </w:tabs>
          </w:pPr>
          <w:r>
            <w:rPr>
              <w:szCs w:val="28"/>
            </w:rPr>
            <w:fldChar w:fldCharType="begin"/>
          </w:r>
          <w:r>
            <w:rPr>
              <w:szCs w:val="28"/>
            </w:rPr>
            <w:instrText xml:space="preserve"> HYPERLINK \l _Toc386 </w:instrText>
          </w:r>
          <w:r>
            <w:rPr>
              <w:szCs w:val="28"/>
            </w:rPr>
            <w:fldChar w:fldCharType="separate"/>
          </w:r>
          <w:r>
            <w:rPr>
              <w:rFonts w:hint="eastAsia"/>
              <w:lang w:val="en-US" w:eastAsia="zh-CN"/>
            </w:rPr>
            <w:t>11.3</w:t>
          </w:r>
          <w:r>
            <w:t>加强基础工作</w:t>
          </w:r>
          <w:r>
            <w:tab/>
          </w:r>
          <w:r>
            <w:fldChar w:fldCharType="begin"/>
          </w:r>
          <w:r>
            <w:instrText xml:space="preserve"> PAGEREF _Toc386 \h </w:instrText>
          </w:r>
          <w:r>
            <w:fldChar w:fldCharType="separate"/>
          </w:r>
          <w:r>
            <w:t>126</w:t>
          </w:r>
          <w:r>
            <w:fldChar w:fldCharType="end"/>
          </w:r>
          <w:r>
            <w:rPr>
              <w:szCs w:val="28"/>
            </w:rPr>
            <w:fldChar w:fldCharType="end"/>
          </w:r>
        </w:p>
        <w:p w14:paraId="481A8F42">
          <w:pPr>
            <w:pStyle w:val="26"/>
            <w:tabs>
              <w:tab w:val="right" w:leader="dot" w:pos="8731"/>
            </w:tabs>
          </w:pPr>
          <w:r>
            <w:rPr>
              <w:szCs w:val="28"/>
            </w:rPr>
            <w:fldChar w:fldCharType="begin"/>
          </w:r>
          <w:r>
            <w:rPr>
              <w:szCs w:val="28"/>
            </w:rPr>
            <w:instrText xml:space="preserve"> HYPERLINK \l _Toc10156 </w:instrText>
          </w:r>
          <w:r>
            <w:rPr>
              <w:szCs w:val="28"/>
            </w:rPr>
            <w:fldChar w:fldCharType="separate"/>
          </w:r>
          <w:r>
            <w:rPr>
              <w:rFonts w:hint="eastAsia"/>
              <w:lang w:val="en-US" w:eastAsia="zh-CN"/>
            </w:rPr>
            <w:t>11.4</w:t>
          </w:r>
          <w:r>
            <w:t>健全协商机制</w:t>
          </w:r>
          <w:r>
            <w:tab/>
          </w:r>
          <w:r>
            <w:fldChar w:fldCharType="begin"/>
          </w:r>
          <w:r>
            <w:instrText xml:space="preserve"> PAGEREF _Toc10156 \h </w:instrText>
          </w:r>
          <w:r>
            <w:fldChar w:fldCharType="separate"/>
          </w:r>
          <w:r>
            <w:t>126</w:t>
          </w:r>
          <w:r>
            <w:fldChar w:fldCharType="end"/>
          </w:r>
          <w:r>
            <w:rPr>
              <w:szCs w:val="28"/>
            </w:rPr>
            <w:fldChar w:fldCharType="end"/>
          </w:r>
        </w:p>
        <w:p w14:paraId="7B164DEA">
          <w:pPr>
            <w:pStyle w:val="26"/>
            <w:tabs>
              <w:tab w:val="right" w:leader="dot" w:pos="8731"/>
            </w:tabs>
          </w:pPr>
          <w:r>
            <w:rPr>
              <w:szCs w:val="28"/>
            </w:rPr>
            <w:fldChar w:fldCharType="begin"/>
          </w:r>
          <w:r>
            <w:rPr>
              <w:szCs w:val="28"/>
            </w:rPr>
            <w:instrText xml:space="preserve"> HYPERLINK \l _Toc6011 </w:instrText>
          </w:r>
          <w:r>
            <w:rPr>
              <w:szCs w:val="28"/>
            </w:rPr>
            <w:fldChar w:fldCharType="separate"/>
          </w:r>
          <w:r>
            <w:rPr>
              <w:rFonts w:hint="eastAsia"/>
              <w:lang w:val="en-US" w:eastAsia="zh-CN"/>
            </w:rPr>
            <w:t>11.5</w:t>
          </w:r>
          <w:r>
            <w:t>完善监督评估</w:t>
          </w:r>
          <w:r>
            <w:tab/>
          </w:r>
          <w:r>
            <w:fldChar w:fldCharType="begin"/>
          </w:r>
          <w:r>
            <w:instrText xml:space="preserve"> PAGEREF _Toc6011 \h </w:instrText>
          </w:r>
          <w:r>
            <w:fldChar w:fldCharType="separate"/>
          </w:r>
          <w:r>
            <w:t>127</w:t>
          </w:r>
          <w:r>
            <w:fldChar w:fldCharType="end"/>
          </w:r>
          <w:r>
            <w:rPr>
              <w:szCs w:val="28"/>
            </w:rPr>
            <w:fldChar w:fldCharType="end"/>
          </w:r>
        </w:p>
        <w:p w14:paraId="3FAAE212">
          <w:pPr>
            <w:pStyle w:val="26"/>
            <w:tabs>
              <w:tab w:val="right" w:leader="dot" w:pos="8731"/>
            </w:tabs>
          </w:pPr>
          <w:r>
            <w:rPr>
              <w:szCs w:val="28"/>
            </w:rPr>
            <w:fldChar w:fldCharType="begin"/>
          </w:r>
          <w:r>
            <w:rPr>
              <w:szCs w:val="28"/>
            </w:rPr>
            <w:instrText xml:space="preserve"> HYPERLINK \l _Toc31510 </w:instrText>
          </w:r>
          <w:r>
            <w:rPr>
              <w:szCs w:val="28"/>
            </w:rPr>
            <w:fldChar w:fldCharType="separate"/>
          </w:r>
          <w:r>
            <w:rPr>
              <w:rFonts w:hint="eastAsia"/>
              <w:lang w:val="en-US" w:eastAsia="zh-CN"/>
            </w:rPr>
            <w:t>11.6</w:t>
          </w:r>
          <w:r>
            <w:t>创新体制机制</w:t>
          </w:r>
          <w:r>
            <w:tab/>
          </w:r>
          <w:r>
            <w:fldChar w:fldCharType="begin"/>
          </w:r>
          <w:r>
            <w:instrText xml:space="preserve"> PAGEREF _Toc31510 \h </w:instrText>
          </w:r>
          <w:r>
            <w:fldChar w:fldCharType="separate"/>
          </w:r>
          <w:r>
            <w:t>127</w:t>
          </w:r>
          <w:r>
            <w:fldChar w:fldCharType="end"/>
          </w:r>
          <w:r>
            <w:rPr>
              <w:szCs w:val="28"/>
            </w:rPr>
            <w:fldChar w:fldCharType="end"/>
          </w:r>
        </w:p>
        <w:p w14:paraId="6E7C9C37">
          <w:pPr>
            <w:keepNext w:val="0"/>
            <w:keepLines w:val="0"/>
            <w:pageBreakBefore w:val="0"/>
            <w:widowControl/>
            <w:kinsoku/>
            <w:wordWrap/>
            <w:overflowPunct/>
            <w:topLinePunct w:val="0"/>
            <w:autoSpaceDE/>
            <w:autoSpaceDN/>
            <w:bidi w:val="0"/>
            <w:adjustRightInd/>
            <w:snapToGrid w:val="0"/>
            <w:spacing w:line="360" w:lineRule="auto"/>
            <w:ind w:firstLine="0" w:firstLineChars="0"/>
            <w:jc w:val="left"/>
            <w:textAlignment w:val="auto"/>
            <w:rPr>
              <w:sz w:val="28"/>
              <w:szCs w:val="28"/>
            </w:rPr>
          </w:pPr>
          <w:r>
            <w:rPr>
              <w:szCs w:val="28"/>
            </w:rPr>
            <w:fldChar w:fldCharType="end"/>
          </w:r>
        </w:p>
      </w:sdtContent>
    </w:sdt>
    <w:p w14:paraId="12221B45">
      <w:pPr>
        <w:widowControl/>
        <w:adjustRightInd/>
        <w:snapToGrid/>
        <w:spacing w:line="240" w:lineRule="auto"/>
        <w:ind w:firstLine="0" w:firstLineChars="0"/>
        <w:jc w:val="left"/>
      </w:pPr>
      <w:r>
        <w:br w:type="page"/>
      </w:r>
    </w:p>
    <w:p w14:paraId="7E189B1C">
      <w:r>
        <w:br w:type="page"/>
      </w:r>
    </w:p>
    <w:p w14:paraId="35D90308">
      <w:pPr>
        <w:pStyle w:val="2"/>
        <w:sectPr>
          <w:footerReference r:id="rId11" w:type="default"/>
          <w:pgSz w:w="11905" w:h="16838"/>
          <w:pgMar w:top="1417" w:right="1587" w:bottom="1417" w:left="1587" w:header="851" w:footer="1020" w:gutter="0"/>
          <w:pgBorders>
            <w:top w:val="none" w:sz="0" w:space="0"/>
            <w:left w:val="none" w:sz="0" w:space="0"/>
            <w:bottom w:val="none" w:sz="0" w:space="0"/>
            <w:right w:val="none" w:sz="0" w:space="0"/>
          </w:pgBorders>
          <w:pgNumType w:fmt="upperRoman" w:start="1"/>
          <w:cols w:space="0" w:num="1"/>
          <w:rtlGutter w:val="0"/>
          <w:docGrid w:linePitch="326" w:charSpace="0"/>
        </w:sectPr>
      </w:pPr>
    </w:p>
    <w:p w14:paraId="16A6DD6A">
      <w:pPr>
        <w:pStyle w:val="4"/>
        <w:rPr>
          <w:rFonts w:hint="eastAsia"/>
          <w:lang w:val="en-US" w:eastAsia="zh-CN"/>
        </w:rPr>
      </w:pPr>
      <w:bookmarkStart w:id="0" w:name="_Toc22663"/>
      <w:r>
        <w:rPr>
          <w:rFonts w:hint="eastAsia"/>
          <w:lang w:val="en-US" w:eastAsia="zh-CN"/>
        </w:rPr>
        <w:t>前言</w:t>
      </w:r>
      <w:bookmarkEnd w:id="0"/>
    </w:p>
    <w:p w14:paraId="1ACC5DA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党的十八大以来，党中央、国务院高度重视统一规划体系和建立国土空间规划体系的工作，相继印发了《关于统一规划体系更好发挥国家发展规划战略导向作用的意见》、《关于建立国土空间规划体系并监督实施的若干意见》等重要文件，提出建立以国家发展规划为统领，以空间规划为基础，以专项规划、区域规划为支撑，由国家、省、市、县各级规划共同组成，定位准确、边界清晰、功能互补、统一衔接的国家规划体系；要求到2020年，基本建立国土空间规划体系，逐步建立“多规合一”的规划编制审批体系、实施监督体系、法规政策体系和技术标准体系；基本完成市县以上各级国土空间总体规划编制，初步实现全国国土空间开发保护</w:t>
      </w:r>
      <w:r>
        <w:rPr>
          <w:rFonts w:hint="eastAsia" w:eastAsia="宋体" w:cs="Times New Roman"/>
          <w:b w:val="0"/>
          <w:bCs w:val="0"/>
          <w:color w:val="000000"/>
          <w:sz w:val="28"/>
          <w:szCs w:val="28"/>
          <w:lang w:eastAsia="zh-CN"/>
        </w:rPr>
        <w:t>“</w:t>
      </w:r>
      <w:r>
        <w:rPr>
          <w:rFonts w:hint="default" w:ascii="Times New Roman" w:hAnsi="Times New Roman" w:eastAsia="宋体" w:cs="Times New Roman"/>
          <w:b w:val="0"/>
          <w:bCs w:val="0"/>
          <w:color w:val="000000"/>
          <w:sz w:val="28"/>
          <w:szCs w:val="28"/>
        </w:rPr>
        <w:t>一张图</w:t>
      </w:r>
      <w:r>
        <w:rPr>
          <w:rFonts w:hint="eastAsia" w:eastAsia="宋体" w:cs="Times New Roman"/>
          <w:b w:val="0"/>
          <w:bCs w:val="0"/>
          <w:color w:val="000000"/>
          <w:sz w:val="28"/>
          <w:szCs w:val="28"/>
          <w:lang w:eastAsia="zh-CN"/>
        </w:rPr>
        <w:t>”</w:t>
      </w:r>
      <w:r>
        <w:rPr>
          <w:rFonts w:hint="default" w:ascii="Times New Roman" w:hAnsi="Times New Roman" w:eastAsia="宋体" w:cs="Times New Roman"/>
          <w:b w:val="0"/>
          <w:bCs w:val="0"/>
          <w:color w:val="000000"/>
          <w:sz w:val="28"/>
          <w:szCs w:val="28"/>
        </w:rPr>
        <w:t>的总体目标。</w:t>
      </w:r>
    </w:p>
    <w:p w14:paraId="5BBE73A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000000"/>
          <w:sz w:val="28"/>
          <w:szCs w:val="28"/>
        </w:rPr>
      </w:pPr>
      <w:r>
        <w:rPr>
          <w:rFonts w:hint="default" w:ascii="Times New Roman" w:hAnsi="Times New Roman" w:eastAsia="宋体" w:cs="Times New Roman"/>
          <w:b w:val="0"/>
          <w:bCs w:val="0"/>
          <w:color w:val="000000"/>
          <w:sz w:val="28"/>
          <w:szCs w:val="28"/>
        </w:rPr>
        <w:t>水利基础设施空间布局规划是国土空间总体规划编制的支撑性规划，是国土空间规划体系中水利领域的专项规划，是水利规划与国土空间规划相衔接的规划，是涉水生态空间及红线管控、水利基础设施建设及管理的依据。2019年10月，水利部下发了《关于印发水利基础设施空间布局规划编制工作方案和技术大纲的通知》（办规计[2019]219号），在全国部署开展水利基础设施空间布局规划编制工作。山</w:t>
      </w:r>
      <w:r>
        <w:rPr>
          <w:rFonts w:hint="default" w:ascii="Times New Roman" w:hAnsi="Times New Roman" w:eastAsia="宋体" w:cs="Times New Roman"/>
          <w:b w:val="0"/>
          <w:bCs w:val="0"/>
          <w:color w:val="000000"/>
          <w:sz w:val="28"/>
          <w:szCs w:val="28"/>
          <w:lang w:val="en-US" w:eastAsia="zh-CN"/>
        </w:rPr>
        <w:t>西</w:t>
      </w:r>
      <w:r>
        <w:rPr>
          <w:rFonts w:hint="default" w:ascii="Times New Roman" w:hAnsi="Times New Roman" w:eastAsia="宋体" w:cs="Times New Roman"/>
          <w:b w:val="0"/>
          <w:bCs w:val="0"/>
          <w:color w:val="000000"/>
          <w:sz w:val="28"/>
          <w:szCs w:val="28"/>
        </w:rPr>
        <w:t>省水利厅高度重视规划编制工作，于20</w:t>
      </w:r>
      <w:r>
        <w:rPr>
          <w:rFonts w:hint="default" w:ascii="Times New Roman" w:hAnsi="Times New Roman" w:eastAsia="宋体" w:cs="Times New Roman"/>
          <w:b w:val="0"/>
          <w:bCs w:val="0"/>
          <w:color w:val="000000"/>
          <w:sz w:val="28"/>
          <w:szCs w:val="28"/>
          <w:lang w:val="en-US" w:eastAsia="zh-CN"/>
        </w:rPr>
        <w:t>21</w:t>
      </w:r>
      <w:r>
        <w:rPr>
          <w:rFonts w:hint="default" w:ascii="Times New Roman" w:hAnsi="Times New Roman" w:eastAsia="宋体" w:cs="Times New Roman"/>
          <w:b w:val="0"/>
          <w:bCs w:val="0"/>
          <w:color w:val="000000"/>
          <w:sz w:val="28"/>
          <w:szCs w:val="28"/>
        </w:rPr>
        <w:t>年</w:t>
      </w:r>
      <w:r>
        <w:rPr>
          <w:rFonts w:hint="default" w:ascii="Times New Roman" w:hAnsi="Times New Roman" w:eastAsia="宋体" w:cs="Times New Roman"/>
          <w:b w:val="0"/>
          <w:bCs w:val="0"/>
          <w:color w:val="000000"/>
          <w:sz w:val="28"/>
          <w:szCs w:val="28"/>
          <w:lang w:val="en-US" w:eastAsia="zh-CN"/>
        </w:rPr>
        <w:t>5</w:t>
      </w:r>
      <w:r>
        <w:rPr>
          <w:rFonts w:hint="default" w:ascii="Times New Roman" w:hAnsi="Times New Roman" w:eastAsia="宋体" w:cs="Times New Roman"/>
          <w:b w:val="0"/>
          <w:bCs w:val="0"/>
          <w:color w:val="000000"/>
          <w:sz w:val="28"/>
          <w:szCs w:val="28"/>
        </w:rPr>
        <w:t>月</w:t>
      </w:r>
      <w:r>
        <w:rPr>
          <w:rFonts w:hint="default" w:ascii="Times New Roman" w:hAnsi="Times New Roman" w:eastAsia="宋体" w:cs="Times New Roman"/>
          <w:b w:val="0"/>
          <w:bCs w:val="0"/>
          <w:color w:val="000000"/>
          <w:sz w:val="28"/>
          <w:szCs w:val="28"/>
          <w:lang w:val="en-US" w:eastAsia="zh-CN"/>
        </w:rPr>
        <w:t>26日</w:t>
      </w:r>
      <w:r>
        <w:rPr>
          <w:rFonts w:hint="default" w:ascii="Times New Roman" w:hAnsi="Times New Roman" w:eastAsia="宋体" w:cs="Times New Roman"/>
          <w:b w:val="0"/>
          <w:bCs w:val="0"/>
          <w:color w:val="000000"/>
          <w:sz w:val="28"/>
          <w:szCs w:val="28"/>
        </w:rPr>
        <w:t>以</w:t>
      </w:r>
      <w:r>
        <w:rPr>
          <w:rFonts w:hint="default" w:ascii="Times New Roman" w:hAnsi="Times New Roman" w:eastAsia="宋体" w:cs="Times New Roman"/>
          <w:b w:val="0"/>
          <w:bCs w:val="0"/>
          <w:color w:val="000000"/>
          <w:sz w:val="28"/>
          <w:szCs w:val="28"/>
          <w:lang w:val="en-US" w:eastAsia="zh-CN"/>
        </w:rPr>
        <w:t>晋水规计便</w:t>
      </w:r>
      <w:r>
        <w:rPr>
          <w:rFonts w:hint="default" w:ascii="Times New Roman" w:hAnsi="Times New Roman" w:eastAsia="宋体" w:cs="Times New Roman"/>
          <w:b w:val="0"/>
          <w:bCs w:val="0"/>
          <w:color w:val="000000"/>
          <w:sz w:val="28"/>
          <w:szCs w:val="28"/>
        </w:rPr>
        <w:t>[202</w:t>
      </w:r>
      <w:r>
        <w:rPr>
          <w:rFonts w:hint="default" w:ascii="Times New Roman" w:hAnsi="Times New Roman" w:eastAsia="宋体" w:cs="Times New Roman"/>
          <w:b w:val="0"/>
          <w:bCs w:val="0"/>
          <w:color w:val="000000"/>
          <w:sz w:val="28"/>
          <w:szCs w:val="28"/>
          <w:lang w:val="en-US" w:eastAsia="zh-CN"/>
        </w:rPr>
        <w:t>1</w:t>
      </w:r>
      <w:r>
        <w:rPr>
          <w:rFonts w:hint="default" w:ascii="Times New Roman" w:hAnsi="Times New Roman" w:eastAsia="宋体" w:cs="Times New Roman"/>
          <w:b w:val="0"/>
          <w:bCs w:val="0"/>
          <w:color w:val="000000"/>
          <w:sz w:val="28"/>
          <w:szCs w:val="28"/>
        </w:rPr>
        <w:t>]</w:t>
      </w:r>
      <w:r>
        <w:rPr>
          <w:rFonts w:hint="default" w:ascii="Times New Roman" w:hAnsi="Times New Roman" w:eastAsia="宋体" w:cs="Times New Roman"/>
          <w:b w:val="0"/>
          <w:bCs w:val="0"/>
          <w:color w:val="000000"/>
          <w:sz w:val="28"/>
          <w:szCs w:val="28"/>
          <w:lang w:val="en-US" w:eastAsia="zh-CN"/>
        </w:rPr>
        <w:t>15</w:t>
      </w:r>
      <w:r>
        <w:rPr>
          <w:rFonts w:hint="default" w:ascii="Times New Roman" w:hAnsi="Times New Roman" w:eastAsia="宋体" w:cs="Times New Roman"/>
          <w:b w:val="0"/>
          <w:bCs w:val="0"/>
          <w:color w:val="000000"/>
          <w:sz w:val="28"/>
          <w:szCs w:val="28"/>
        </w:rPr>
        <w:t>号文件下发了《山</w:t>
      </w:r>
      <w:r>
        <w:rPr>
          <w:rFonts w:hint="default" w:ascii="Times New Roman" w:hAnsi="Times New Roman" w:eastAsia="宋体" w:cs="Times New Roman"/>
          <w:b w:val="0"/>
          <w:bCs w:val="0"/>
          <w:color w:val="000000"/>
          <w:sz w:val="28"/>
          <w:szCs w:val="28"/>
          <w:lang w:val="en-US" w:eastAsia="zh-CN"/>
        </w:rPr>
        <w:t>西</w:t>
      </w:r>
      <w:r>
        <w:rPr>
          <w:rFonts w:hint="default" w:ascii="Times New Roman" w:hAnsi="Times New Roman" w:eastAsia="宋体" w:cs="Times New Roman"/>
          <w:b w:val="0"/>
          <w:bCs w:val="0"/>
          <w:color w:val="000000"/>
          <w:sz w:val="28"/>
          <w:szCs w:val="28"/>
        </w:rPr>
        <w:t>省水利厅关于印发水利基础设施空间布局规划编制工作方案和</w:t>
      </w:r>
      <w:r>
        <w:rPr>
          <w:rFonts w:hint="default" w:ascii="Times New Roman" w:hAnsi="Times New Roman" w:eastAsia="宋体" w:cs="Times New Roman"/>
          <w:b w:val="0"/>
          <w:bCs w:val="0"/>
          <w:color w:val="000000"/>
          <w:sz w:val="28"/>
          <w:szCs w:val="28"/>
          <w:lang w:val="en-US" w:eastAsia="zh-CN"/>
        </w:rPr>
        <w:t>作图技术要求</w:t>
      </w:r>
      <w:r>
        <w:rPr>
          <w:rFonts w:hint="default" w:ascii="Times New Roman" w:hAnsi="Times New Roman" w:eastAsia="宋体" w:cs="Times New Roman"/>
          <w:b w:val="0"/>
          <w:bCs w:val="0"/>
          <w:color w:val="000000"/>
          <w:sz w:val="28"/>
          <w:szCs w:val="28"/>
        </w:rPr>
        <w:t>的通知》，要求在全省开展规划编制工作。</w:t>
      </w:r>
    </w:p>
    <w:p w14:paraId="56FA21B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根据省厅有关工作要求，泽州县水务局委托我院开展了水利基础设施空间规划工作。规划以泽州县水资源承载能力为刚性约束，以划定涉水生态空间、优化水利基础设施空间布局、推进水生态系统保护修复为重点，为推进水利基础设施建设和涉水生态空间管控提供依据。《规划报告》在充分调查泽州县水利基础设施的基础上，论证分析泽州县水保障面临的形式与发展要求，对水利基础设施涉水空间进行划定，提出水利基础设施用地预留范围，并明确涉水空间管控和保护要求，为泽州县国土空间规划提供水利技术支撑。</w:t>
      </w:r>
    </w:p>
    <w:p w14:paraId="0C43BC88">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在规划编制过程中，我们得到了泽州县水务局、泽州县自然资源局、晋城市生态环境局泽州分局等单位的大力支持，在此对支持规划编制工作的单位领导及同志表示衷心的感谢。</w:t>
      </w:r>
    </w:p>
    <w:p w14:paraId="3528B48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0DA3764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4AA57E3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50918B2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2D3CD1F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7CC5952B">
      <w:pPr>
        <w:bidi w:val="0"/>
        <w:rPr>
          <w:rFonts w:hint="eastAsia"/>
          <w:lang w:val="en-US" w:eastAsia="zh-CN"/>
        </w:rPr>
      </w:pPr>
    </w:p>
    <w:p w14:paraId="2F403333">
      <w:pPr>
        <w:rPr>
          <w:rFonts w:hint="eastAsia"/>
          <w:lang w:val="en-US" w:eastAsia="zh-CN"/>
        </w:rPr>
      </w:pPr>
    </w:p>
    <w:p w14:paraId="0D955AA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46D93040">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5E6BF8E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5676AD4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56C923DC">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080E190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600" w:firstLineChars="200"/>
        <w:jc w:val="left"/>
        <w:textAlignment w:val="auto"/>
        <w:rPr>
          <w:rFonts w:hint="eastAsia" w:ascii="宋体" w:hAnsi="宋体" w:eastAsia="宋体" w:cs="宋体"/>
          <w:b w:val="0"/>
          <w:bCs w:val="0"/>
          <w:color w:val="000000"/>
          <w:kern w:val="0"/>
          <w:sz w:val="30"/>
          <w:szCs w:val="30"/>
          <w:lang w:val="en-US" w:eastAsia="zh-CN" w:bidi="ar"/>
        </w:rPr>
      </w:pPr>
    </w:p>
    <w:p w14:paraId="4A85A296">
      <w:pPr>
        <w:spacing w:line="240" w:lineRule="auto"/>
        <w:ind w:firstLine="0" w:firstLineChars="0"/>
        <w:rPr>
          <w:rFonts w:eastAsia="宋体"/>
          <w:sz w:val="21"/>
          <w:szCs w:val="21"/>
        </w:rPr>
      </w:pPr>
    </w:p>
    <w:p w14:paraId="152725CC">
      <w:pPr>
        <w:pStyle w:val="4"/>
        <w:bidi w:val="0"/>
        <w:rPr>
          <w:rFonts w:hint="eastAsia"/>
          <w:lang w:val="en-US" w:eastAsia="zh-CN"/>
        </w:rPr>
        <w:sectPr>
          <w:headerReference r:id="rId14" w:type="first"/>
          <w:footerReference r:id="rId17" w:type="first"/>
          <w:headerReference r:id="rId12" w:type="default"/>
          <w:footerReference r:id="rId15" w:type="default"/>
          <w:headerReference r:id="rId13" w:type="even"/>
          <w:footerReference r:id="rId16" w:type="even"/>
          <w:pgSz w:w="11905" w:h="16838"/>
          <w:pgMar w:top="1417" w:right="1587" w:bottom="1417" w:left="1587" w:header="851" w:footer="1020" w:gutter="0"/>
          <w:pgBorders>
            <w:top w:val="none" w:sz="0" w:space="0"/>
            <w:left w:val="none" w:sz="0" w:space="0"/>
            <w:bottom w:val="none" w:sz="0" w:space="0"/>
            <w:right w:val="none" w:sz="0" w:space="0"/>
          </w:pgBorders>
          <w:pgNumType w:fmt="decimal" w:start="1"/>
          <w:cols w:space="0" w:num="1"/>
          <w:rtlGutter w:val="0"/>
          <w:docGrid w:linePitch="312" w:charSpace="0"/>
        </w:sectPr>
      </w:pPr>
      <w:bookmarkStart w:id="1" w:name="_Toc2898"/>
    </w:p>
    <w:p w14:paraId="17D00AD8">
      <w:pPr>
        <w:pStyle w:val="4"/>
        <w:bidi w:val="0"/>
      </w:pPr>
      <w:r>
        <w:rPr>
          <w:rFonts w:hint="eastAsia"/>
          <w:lang w:val="en-US" w:eastAsia="zh-CN"/>
        </w:rPr>
        <w:t>1</w:t>
      </w:r>
      <w:r>
        <w:t>现状与基础</w:t>
      </w:r>
      <w:bookmarkEnd w:id="1"/>
    </w:p>
    <w:p w14:paraId="621E9ECF">
      <w:pPr>
        <w:pStyle w:val="5"/>
        <w:bidi w:val="0"/>
      </w:pPr>
      <w:bookmarkStart w:id="2" w:name="_Toc22055"/>
      <w:bookmarkStart w:id="3" w:name="_Toc36060021"/>
      <w:r>
        <w:rPr>
          <w:rFonts w:hint="eastAsia"/>
          <w:lang w:val="en-US" w:eastAsia="zh-CN"/>
        </w:rPr>
        <w:t>1.1</w:t>
      </w:r>
      <w:r>
        <w:t>自然条件</w:t>
      </w:r>
      <w:bookmarkEnd w:id="2"/>
      <w:bookmarkEnd w:id="3"/>
    </w:p>
    <w:p w14:paraId="6183E268">
      <w:pPr>
        <w:pStyle w:val="6"/>
        <w:keepNext/>
        <w:keepLines/>
        <w:pageBreakBefore w:val="0"/>
        <w:widowControl w:val="0"/>
        <w:kinsoku/>
        <w:wordWrap/>
        <w:overflowPunct/>
        <w:topLinePunct w:val="0"/>
        <w:autoSpaceDE/>
        <w:autoSpaceDN/>
        <w:bidi w:val="0"/>
        <w:adjustRightInd w:val="0"/>
        <w:snapToGrid w:val="0"/>
        <w:spacing w:after="0"/>
        <w:textAlignment w:val="auto"/>
        <w:rPr>
          <w:rFonts w:hint="default"/>
          <w:lang w:val="en-US"/>
        </w:rPr>
      </w:pPr>
      <w:bookmarkStart w:id="4" w:name="_Toc36060022"/>
      <w:r>
        <w:rPr>
          <w:rFonts w:hint="eastAsia"/>
          <w:lang w:val="en-US" w:eastAsia="zh-CN"/>
        </w:rPr>
        <w:t>1.1.1</w:t>
      </w:r>
      <w:bookmarkEnd w:id="4"/>
      <w:r>
        <w:rPr>
          <w:rFonts w:hint="eastAsia"/>
          <w:lang w:val="en-US" w:eastAsia="zh-CN"/>
        </w:rPr>
        <w:t>地理位置和行政区划</w:t>
      </w:r>
    </w:p>
    <w:p w14:paraId="0E1D1BB2">
      <w:pPr>
        <w:pStyle w:val="60"/>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泽州县位于太行山南端、山西省东南部。史称</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rPr>
        <w:t>河东屏翰，冀南雄镇</w:t>
      </w:r>
      <w:r>
        <w:rPr>
          <w:rFonts w:hint="eastAsia" w:ascii="Times New Roman" w:hAnsi="Times New Roman" w:cs="Times New Roman"/>
          <w:sz w:val="28"/>
          <w:szCs w:val="28"/>
          <w:lang w:eastAsia="zh-CN"/>
        </w:rPr>
        <w:t>”</w:t>
      </w:r>
      <w:r>
        <w:rPr>
          <w:rFonts w:hint="default" w:ascii="Times New Roman" w:hAnsi="Times New Roman" w:eastAsia="宋体" w:cs="Times New Roman"/>
          <w:sz w:val="28"/>
          <w:szCs w:val="28"/>
        </w:rPr>
        <w:t>。地理坐标为东经112°31′～113°14′，北纬35°12′～35°42′。地域分布在晋城市城区四周，东连陵川，西接阳城、沁水，北靠高平，南与河南省的辉县、修武、博爱、沁阳、济源等市、县毗邻。总面积</w:t>
      </w:r>
      <w:r>
        <w:rPr>
          <w:rFonts w:hint="eastAsia" w:ascii="Times New Roman" w:hAnsi="Times New Roman" w:cs="Times New Roman"/>
          <w:sz w:val="28"/>
          <w:szCs w:val="28"/>
          <w:lang w:eastAsia="zh-CN"/>
        </w:rPr>
        <w:t>2024.42</w:t>
      </w:r>
      <w:r>
        <w:rPr>
          <w:rFonts w:hint="default" w:ascii="Times New Roman" w:hAnsi="Times New Roman" w:cs="Times New Roman"/>
          <w:sz w:val="28"/>
          <w:szCs w:val="28"/>
          <w:lang w:val="en-US" w:eastAsia="zh-CN"/>
        </w:rPr>
        <w:t>km</w:t>
      </w:r>
      <w:r>
        <w:rPr>
          <w:rFonts w:hint="default" w:ascii="Times New Roman" w:hAnsi="Times New Roman" w:cs="Times New Roman"/>
          <w:sz w:val="28"/>
          <w:szCs w:val="28"/>
          <w:vertAlign w:val="superscript"/>
          <w:lang w:val="en-US" w:eastAsia="zh-CN"/>
        </w:rPr>
        <w:t>2</w:t>
      </w:r>
      <w:r>
        <w:rPr>
          <w:rFonts w:hint="default" w:ascii="Times New Roman" w:hAnsi="Times New Roman" w:eastAsia="宋体" w:cs="Times New Roman"/>
          <w:sz w:val="28"/>
          <w:szCs w:val="28"/>
        </w:rPr>
        <w:t>，占晋城市总面积的21.3</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rPr>
        <w:t>，占山西省总面积的1.2</w:t>
      </w:r>
      <w:r>
        <w:rPr>
          <w:rFonts w:hint="eastAsia" w:ascii="Times New Roman" w:hAnsi="Times New Roman" w:cs="Times New Roman"/>
          <w:sz w:val="28"/>
          <w:szCs w:val="28"/>
          <w:lang w:val="en-US" w:eastAsia="zh-CN"/>
        </w:rPr>
        <w:t>%</w:t>
      </w:r>
      <w:r>
        <w:rPr>
          <w:rFonts w:hint="default" w:ascii="Times New Roman" w:hAnsi="Times New Roman" w:eastAsia="宋体" w:cs="Times New Roman"/>
          <w:sz w:val="28"/>
          <w:szCs w:val="28"/>
        </w:rPr>
        <w:t>。全县</w:t>
      </w:r>
      <w:r>
        <w:rPr>
          <w:rFonts w:hint="default" w:ascii="Times New Roman" w:hAnsi="Times New Roman" w:cs="Times New Roman"/>
          <w:sz w:val="28"/>
          <w:szCs w:val="28"/>
          <w:lang w:val="en-US" w:eastAsia="zh-CN"/>
        </w:rPr>
        <w:t>下辖</w:t>
      </w:r>
      <w:r>
        <w:rPr>
          <w:rFonts w:hint="default" w:ascii="Times New Roman" w:hAnsi="Times New Roman" w:eastAsia="宋体" w:cs="Times New Roman"/>
          <w:sz w:val="28"/>
          <w:szCs w:val="28"/>
        </w:rPr>
        <w:t>16个镇</w:t>
      </w:r>
      <w:r>
        <w:rPr>
          <w:rFonts w:hint="default" w:ascii="Times New Roman" w:hAnsi="Times New Roman" w:cs="Times New Roman"/>
          <w:sz w:val="28"/>
          <w:szCs w:val="28"/>
          <w:lang w:eastAsia="zh-CN"/>
        </w:rPr>
        <w:t>，</w:t>
      </w:r>
      <w:r>
        <w:rPr>
          <w:rFonts w:hint="default" w:ascii="Times New Roman" w:hAnsi="Times New Roman" w:eastAsia="宋体" w:cs="Times New Roman"/>
          <w:sz w:val="28"/>
          <w:szCs w:val="28"/>
        </w:rPr>
        <w:t>434个村（居）民委员会。</w:t>
      </w:r>
    </w:p>
    <w:p w14:paraId="2C27A7E7">
      <w:pPr>
        <w:pStyle w:val="60"/>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Times New Roman" w:hAnsi="Times New Roman" w:cs="Times New Roman"/>
          <w:sz w:val="28"/>
          <w:szCs w:val="28"/>
          <w:highlight w:val="none"/>
          <w:lang w:eastAsia="zh-CN"/>
        </w:rPr>
      </w:pPr>
      <w:r>
        <w:rPr>
          <w:rFonts w:hint="eastAsia" w:ascii="Times New Roman" w:hAnsi="Times New Roman" w:cs="Times New Roman"/>
          <w:sz w:val="28"/>
          <w:szCs w:val="28"/>
          <w:highlight w:val="none"/>
          <w:lang w:val="en-US" w:eastAsia="zh-CN"/>
        </w:rPr>
        <w:t>泽州县</w:t>
      </w:r>
      <w:r>
        <w:rPr>
          <w:rFonts w:hint="eastAsia" w:ascii="Times New Roman" w:hAnsi="Times New Roman" w:cs="Times New Roman"/>
          <w:sz w:val="28"/>
          <w:szCs w:val="28"/>
          <w:highlight w:val="none"/>
        </w:rPr>
        <w:t>地理位置图见图1</w:t>
      </w:r>
      <w:r>
        <w:rPr>
          <w:rFonts w:hint="eastAsia" w:ascii="Times New Roman" w:hAnsi="Times New Roman" w:cs="Times New Roman"/>
          <w:sz w:val="28"/>
          <w:szCs w:val="28"/>
          <w:highlight w:val="none"/>
          <w:lang w:val="en-US" w:eastAsia="zh-CN"/>
        </w:rPr>
        <w:t>.1</w:t>
      </w:r>
      <w:r>
        <w:rPr>
          <w:rFonts w:hint="eastAsia" w:ascii="Times New Roman" w:hAnsi="Times New Roman" w:cs="Times New Roman"/>
          <w:sz w:val="28"/>
          <w:szCs w:val="28"/>
          <w:highlight w:val="none"/>
        </w:rPr>
        <w:t>-1</w:t>
      </w:r>
      <w:r>
        <w:rPr>
          <w:rFonts w:hint="eastAsia" w:ascii="Times New Roman" w:hAnsi="Times New Roman" w:cs="Times New Roman"/>
          <w:sz w:val="28"/>
          <w:szCs w:val="28"/>
          <w:highlight w:val="none"/>
          <w:lang w:eastAsia="zh-CN"/>
        </w:rPr>
        <w:t>。</w:t>
      </w:r>
    </w:p>
    <w:p w14:paraId="182A8A8C">
      <w:pPr>
        <w:pStyle w:val="60"/>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eastAsia="宋体"/>
          <w:color w:val="auto"/>
          <w:kern w:val="0"/>
          <w:highlight w:val="yellow"/>
          <w:lang w:eastAsia="zh-CN"/>
        </w:rPr>
      </w:pPr>
      <w:r>
        <w:rPr>
          <w:rFonts w:hint="eastAsia" w:ascii="宋体" w:eastAsia="宋体"/>
          <w:color w:val="auto"/>
          <w:kern w:val="0"/>
          <w:highlight w:val="yellow"/>
          <w:lang w:eastAsia="zh-CN"/>
        </w:rPr>
        <w:drawing>
          <wp:inline distT="0" distB="0" distL="114300" distR="114300">
            <wp:extent cx="5867400" cy="3758565"/>
            <wp:effectExtent l="0" t="0" r="0" b="0"/>
            <wp:docPr id="2" name="图片 2"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rawing1-Model"/>
                    <pic:cNvPicPr>
                      <a:picLocks noChangeAspect="1"/>
                    </pic:cNvPicPr>
                  </pic:nvPicPr>
                  <pic:blipFill>
                    <a:blip r:embed="rId22"/>
                    <a:srcRect t="10633" b="9294"/>
                    <a:stretch>
                      <a:fillRect/>
                    </a:stretch>
                  </pic:blipFill>
                  <pic:spPr>
                    <a:xfrm>
                      <a:off x="0" y="0"/>
                      <a:ext cx="5867400" cy="3758565"/>
                    </a:xfrm>
                    <a:prstGeom prst="rect">
                      <a:avLst/>
                    </a:prstGeom>
                  </pic:spPr>
                </pic:pic>
              </a:graphicData>
            </a:graphic>
          </wp:inline>
        </w:drawing>
      </w:r>
    </w:p>
    <w:p w14:paraId="41A7EFC7">
      <w:pPr>
        <w:pStyle w:val="60"/>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宋体" w:eastAsia="宋体"/>
          <w:color w:val="auto"/>
          <w:kern w:val="0"/>
          <w:sz w:val="24"/>
          <w:szCs w:val="24"/>
          <w:highlight w:val="none"/>
          <w:lang w:val="en-US" w:eastAsia="zh-CN"/>
        </w:rPr>
      </w:pPr>
      <w:r>
        <w:rPr>
          <w:rFonts w:hint="eastAsia"/>
          <w:color w:val="auto"/>
          <w:kern w:val="0"/>
          <w:sz w:val="24"/>
          <w:szCs w:val="24"/>
          <w:highlight w:val="none"/>
          <w:lang w:eastAsia="zh-CN"/>
        </w:rPr>
        <w:t>图</w:t>
      </w:r>
      <w:r>
        <w:rPr>
          <w:rFonts w:hint="eastAsia"/>
          <w:color w:val="auto"/>
          <w:kern w:val="0"/>
          <w:sz w:val="24"/>
          <w:szCs w:val="24"/>
          <w:highlight w:val="none"/>
          <w:lang w:val="en-US" w:eastAsia="zh-CN"/>
        </w:rPr>
        <w:t>1.1-1泽州县地理位置图</w:t>
      </w:r>
    </w:p>
    <w:p w14:paraId="30915905">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r>
        <w:rPr>
          <w:rFonts w:hint="eastAsia" w:ascii="Times New Roman" w:hAnsi="Times New Roman" w:eastAsia="宋体"/>
          <w:lang w:val="en-US" w:eastAsia="zh-CN"/>
        </w:rPr>
        <w:t>1.1.2地形地貌</w:t>
      </w:r>
    </w:p>
    <w:p w14:paraId="3E8D93BF">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8"/>
          <w:szCs w:val="28"/>
          <w:shd w:val="clear" w:fill="FFFFFF"/>
          <w:lang w:val="en-US" w:eastAsia="zh-CN"/>
          <w14:textFill>
            <w14:solidFill>
              <w14:schemeClr w14:val="tx1"/>
            </w14:solidFill>
          </w14:textFill>
        </w:rPr>
        <w:t>泽州县地处山西省东部的太行山东南端，</w:t>
      </w:r>
      <w:r>
        <w:rPr>
          <w:rFonts w:hint="default" w:ascii="Times New Roman" w:hAnsi="Times New Roman" w:eastAsia="宋体" w:cs="Times New Roman"/>
          <w:color w:val="000000" w:themeColor="text1"/>
          <w:kern w:val="0"/>
          <w:sz w:val="28"/>
          <w:szCs w:val="28"/>
          <w14:textFill>
            <w14:solidFill>
              <w14:schemeClr w14:val="tx1"/>
            </w14:solidFill>
          </w14:textFill>
        </w:rPr>
        <w:t>地形东西</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宽62.75km，</w:t>
      </w:r>
      <w:r>
        <w:rPr>
          <w:rFonts w:hint="default" w:ascii="Times New Roman" w:hAnsi="Times New Roman" w:eastAsia="宋体" w:cs="Times New Roman"/>
          <w:color w:val="000000" w:themeColor="text1"/>
          <w:kern w:val="0"/>
          <w:sz w:val="28"/>
          <w:szCs w:val="28"/>
          <w14:textFill>
            <w14:solidFill>
              <w14:schemeClr w14:val="tx1"/>
            </w14:solidFill>
          </w14:textFill>
        </w:rPr>
        <w:t>南北长</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58.85km</w:t>
      </w:r>
      <w:r>
        <w:rPr>
          <w:rFonts w:hint="default" w:ascii="Times New Roman" w:hAnsi="Times New Roman" w:eastAsia="宋体" w:cs="Times New Roman"/>
          <w:color w:val="000000" w:themeColor="text1"/>
          <w:kern w:val="0"/>
          <w:sz w:val="28"/>
          <w:szCs w:val="28"/>
          <w14:textFill>
            <w14:solidFill>
              <w14:schemeClr w14:val="tx1"/>
            </w14:solidFill>
          </w14:textFill>
        </w:rPr>
        <w:t>，南北宽约55km</w:t>
      </w:r>
      <w:r>
        <w:rPr>
          <w:rFonts w:hint="default" w:ascii="Times New Roman" w:hAnsi="Times New Roman" w:eastAsia="宋体" w:cs="Times New Roman"/>
          <w:color w:val="000000" w:themeColor="text1"/>
          <w:kern w:val="0"/>
          <w:sz w:val="28"/>
          <w:szCs w:val="28"/>
          <w:lang w:eastAsia="zh-CN"/>
          <w14:textFill>
            <w14:solidFill>
              <w14:schemeClr w14:val="tx1"/>
            </w14:solidFill>
          </w14:textFill>
        </w:rPr>
        <w:t>，</w:t>
      </w:r>
      <w:r>
        <w:rPr>
          <w:rFonts w:hint="default" w:ascii="Times New Roman" w:hAnsi="Times New Roman" w:eastAsia="宋体" w:cs="Times New Roman"/>
          <w:color w:val="000000" w:themeColor="text1"/>
          <w:kern w:val="0"/>
          <w:sz w:val="28"/>
          <w:szCs w:val="28"/>
          <w:lang w:val="en-US" w:eastAsia="zh-CN"/>
          <w14:textFill>
            <w14:solidFill>
              <w14:schemeClr w14:val="tx1"/>
            </w14:solidFill>
          </w14:textFill>
        </w:rPr>
        <w:t>总面积</w:t>
      </w:r>
      <w:r>
        <w:rPr>
          <w:rFonts w:hint="eastAsia" w:eastAsia="宋体" w:cs="Times New Roman"/>
          <w:color w:val="000000" w:themeColor="text1"/>
          <w:sz w:val="28"/>
          <w:szCs w:val="28"/>
          <w:lang w:eastAsia="zh-CN"/>
          <w14:textFill>
            <w14:solidFill>
              <w14:schemeClr w14:val="tx1"/>
            </w14:solidFill>
          </w14:textFill>
        </w:rPr>
        <w:t>2024.42</w:t>
      </w:r>
      <w:r>
        <w:rPr>
          <w:rFonts w:hint="default" w:ascii="Times New Roman" w:hAnsi="Times New Roman" w:eastAsia="宋体" w:cs="Times New Roman"/>
          <w:color w:val="000000" w:themeColor="text1"/>
          <w:sz w:val="28"/>
          <w:szCs w:val="28"/>
          <w:lang w:val="en-US" w:eastAsia="zh-CN"/>
          <w14:textFill>
            <w14:solidFill>
              <w14:schemeClr w14:val="tx1"/>
            </w14:solidFill>
          </w14:textFill>
        </w:rPr>
        <w:t>km</w:t>
      </w:r>
      <w:r>
        <w:rPr>
          <w:rFonts w:hint="default" w:ascii="Times New Roman" w:hAnsi="Times New Roman" w:eastAsia="宋体" w:cs="Times New Roman"/>
          <w:color w:val="000000" w:themeColor="text1"/>
          <w:sz w:val="28"/>
          <w:szCs w:val="28"/>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8"/>
          <w:szCs w:val="28"/>
          <w14:textFill>
            <w14:solidFill>
              <w14:schemeClr w14:val="tx1"/>
            </w14:solidFill>
          </w14:textFill>
        </w:rPr>
        <w:t>。</w:t>
      </w:r>
    </w:p>
    <w:p w14:paraId="39EA94C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ascii="Arial" w:hAnsi="Arial" w:cs="Arial"/>
          <w:i w:val="0"/>
          <w:iCs w:val="0"/>
          <w:caps w:val="0"/>
          <w:color w:val="000000" w:themeColor="text1"/>
          <w:spacing w:val="0"/>
          <w:sz w:val="28"/>
          <w:szCs w:val="28"/>
          <w14:textFill>
            <w14:solidFill>
              <w14:schemeClr w14:val="tx1"/>
            </w14:solidFill>
          </w14:textFill>
        </w:rPr>
      </w:pP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泽州县东、西、南三面环山，山岭陡峻，倾向中央，北中部为丘陵地带。地貌呈黄土高原和褶皱山板相间分布，具有山地、丘陵、平川区等多种地貌类型，构成了北高南低波浪式的地貌景观。</w:t>
      </w:r>
    </w:p>
    <w:p w14:paraId="67157D02">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000000" w:themeColor="text1"/>
          <w:spacing w:val="0"/>
          <w:sz w:val="28"/>
          <w:szCs w:val="28"/>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山地地貌分布于本县东南部的高山地带，境内起伏大，相对高差一般为800</w:t>
      </w:r>
      <w:r>
        <w:rPr>
          <w:rFonts w:hint="eastAsia" w:ascii="Times New Roman" w:hAnsi="Times New Roman"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左右，面积197.1万亩，占泽州县总面积的60.8%。本区以急剧的升降结构作用为主，伴之以流水侵蚀及风化剥蚀作用，山体主要由寒武系、奥陶系石灰岩及变质岩组成。多为直立陡峭的单面山及高度不等的突起山峰。尖棱的山脊，重叠的岗峦，陡缓不均的山面和狭窄的山谷。</w:t>
      </w:r>
    </w:p>
    <w:p w14:paraId="0F0D8486">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000000" w:themeColor="text1"/>
          <w:spacing w:val="0"/>
          <w:sz w:val="28"/>
          <w:szCs w:val="28"/>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丘陵地貌分布于大阳、东沟、下村、川底、周村、北义城、水东、金村、高都等乡镇。相对高差一般为200</w:t>
      </w:r>
      <w:r>
        <w:rPr>
          <w:rFonts w:hint="eastAsia" w:ascii="Times New Roman" w:hAnsi="Times New Roman"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左右，面积100.2万亩，占泽州县总面积的30.9%。本区的石灰石、沙质岩、沙岩全为黄土、红土、红黄土覆盖，在长期的风化剥蚀及流水侵蚀作用下，下切强烈、沟底狭窄，多呈V形，由于侵刨基准面不断下降，加之覆盖深厚的黄土，抗蚀能力差，大部分被冲刷沟分割成狭长的梁地。山梁呈波浪式，山坡为阶梯状，自山梁和山坡继续覆盖厚薄不一的堆积物，有较规则的排列。登高斜望，黄土丘陵呈波浪起伏、沟谷纵横之状。</w:t>
      </w:r>
    </w:p>
    <w:p w14:paraId="69227DB9">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平川区地貌分布于南村、巴公等乡镇。相对高差一般只有50</w:t>
      </w:r>
      <w:r>
        <w:rPr>
          <w:rFonts w:hint="eastAsia" w:ascii="Times New Roman" w:hAnsi="Times New Roman"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左右，面积27万亩，占泽州县总面积的8.3%。本区地势平坦开阔，有垄岗起伏的微域变化，为河流近代洪水淤积物，上细下粗呈二元结构。土层主要为较厚的更新统黄土堆积，其厚度为5-15</w:t>
      </w:r>
      <w:r>
        <w:rPr>
          <w:rFonts w:hint="eastAsia" w:ascii="Times New Roman" w:hAnsi="Times New Roman"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，下层为砾石层。</w:t>
      </w:r>
    </w:p>
    <w:p w14:paraId="6402C084">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20"/>
        <w:jc w:val="both"/>
        <w:textAlignment w:val="auto"/>
        <w:rPr>
          <w:rFonts w:hint="default" w:ascii="Times New Roman" w:hAnsi="Times New Roman" w:eastAsia="宋体" w:cs="Times New Roman"/>
          <w:i w:val="0"/>
          <w:iCs w:val="0"/>
          <w:caps w:val="0"/>
          <w:color w:val="000000" w:themeColor="text1"/>
          <w:spacing w:val="0"/>
          <w:sz w:val="28"/>
          <w:szCs w:val="28"/>
          <w14:textFill>
            <w14:solidFill>
              <w14:schemeClr w14:val="tx1"/>
            </w14:solidFill>
          </w14:textFill>
        </w:rPr>
      </w:pP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泽州县</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境内山地、丘陵、平川面积之比为6</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3</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1。最高点为西北部的吾圣山主峰，海拔1346.6</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，最低点为丹河出口处的三姑泉，海拔296</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，相对高差为1050.6</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。平均海拔在650--1000</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之间。境内山岭纵横，北疏南密，均属太行山脉。海拔1100</w:t>
      </w:r>
      <w:r>
        <w:rPr>
          <w:rFonts w:hint="eastAsia" w:eastAsia="宋体" w:cs="Times New Roman"/>
          <w:i w:val="0"/>
          <w:iCs w:val="0"/>
          <w:caps w:val="0"/>
          <w:color w:val="000000" w:themeColor="text1"/>
          <w:spacing w:val="0"/>
          <w:sz w:val="28"/>
          <w:szCs w:val="28"/>
          <w:shd w:val="clear" w:fill="FFFFFF"/>
          <w:lang w:val="en-US" w:eastAsia="zh-CN"/>
          <w14:textFill>
            <w14:solidFill>
              <w14:schemeClr w14:val="tx1"/>
            </w14:solidFill>
          </w14:textFill>
        </w:rPr>
        <w:t>m</w:t>
      </w:r>
      <w:r>
        <w:rPr>
          <w:rFonts w:hint="default" w:ascii="Times New Roman" w:hAnsi="Times New Roman" w:eastAsia="宋体" w:cs="Times New Roman"/>
          <w:i w:val="0"/>
          <w:iCs w:val="0"/>
          <w:caps w:val="0"/>
          <w:color w:val="000000" w:themeColor="text1"/>
          <w:spacing w:val="0"/>
          <w:sz w:val="28"/>
          <w:szCs w:val="28"/>
          <w:shd w:val="clear" w:fill="FFFFFF"/>
          <w14:textFill>
            <w14:solidFill>
              <w14:schemeClr w14:val="tx1"/>
            </w14:solidFill>
          </w14:textFill>
        </w:rPr>
        <w:t>以上的山有吾圣山、香山、大圪垴山、伊侯山、大尖山、方山、岳城山、晋普山、圣王山等。</w:t>
      </w:r>
    </w:p>
    <w:p w14:paraId="6C598AD5">
      <w:pPr>
        <w:pStyle w:val="60"/>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i w:val="0"/>
          <w:iCs w:val="0"/>
          <w:caps w:val="0"/>
          <w:color w:val="000000"/>
          <w:spacing w:val="0"/>
          <w:sz w:val="28"/>
          <w:szCs w:val="28"/>
          <w:shd w:val="clear" w:fill="FFFFFF"/>
          <w:lang w:val="en-US" w:eastAsia="zh-CN"/>
        </w:rPr>
      </w:pPr>
      <w:r>
        <w:drawing>
          <wp:inline distT="0" distB="0" distL="114300" distR="114300">
            <wp:extent cx="4572000" cy="2743200"/>
            <wp:effectExtent l="4445" t="4445" r="14605" b="14605"/>
            <wp:docPr id="1" name="图表 1" descr="7b0a202020202263686172745265734964223a2022383733373732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82D1CE">
      <w:pPr>
        <w:pStyle w:val="60"/>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宋体" w:eastAsia="宋体"/>
          <w:color w:val="auto"/>
          <w:kern w:val="0"/>
          <w:sz w:val="24"/>
          <w:szCs w:val="24"/>
          <w:highlight w:val="none"/>
          <w:lang w:val="en-US" w:eastAsia="zh-CN"/>
        </w:rPr>
      </w:pPr>
      <w:r>
        <w:rPr>
          <w:rFonts w:hint="eastAsia"/>
          <w:color w:val="auto"/>
          <w:kern w:val="0"/>
          <w:sz w:val="24"/>
          <w:szCs w:val="24"/>
          <w:highlight w:val="none"/>
          <w:lang w:eastAsia="zh-CN"/>
        </w:rPr>
        <w:t>图</w:t>
      </w:r>
      <w:r>
        <w:rPr>
          <w:rFonts w:hint="eastAsia"/>
          <w:color w:val="auto"/>
          <w:kern w:val="0"/>
          <w:sz w:val="24"/>
          <w:szCs w:val="24"/>
          <w:highlight w:val="none"/>
          <w:lang w:val="en-US" w:eastAsia="zh-CN"/>
        </w:rPr>
        <w:t>1.1-2泽州县地形地貌分布图</w:t>
      </w:r>
    </w:p>
    <w:p w14:paraId="338688C6">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r>
        <w:rPr>
          <w:rFonts w:hint="eastAsia" w:ascii="Times New Roman" w:hAnsi="Times New Roman" w:eastAsia="宋体"/>
          <w:lang w:val="en-US" w:eastAsia="zh-CN"/>
        </w:rPr>
        <w:t>1.1.3水文气象</w:t>
      </w:r>
    </w:p>
    <w:p w14:paraId="7A87F171">
      <w:pPr>
        <w:pStyle w:val="60"/>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Times New Roman" w:hAnsi="Times New Roman" w:cs="Times New Roman"/>
          <w:kern w:val="0"/>
          <w:sz w:val="28"/>
          <w:szCs w:val="28"/>
          <w:highlight w:val="none"/>
        </w:rPr>
      </w:pPr>
      <w:r>
        <w:rPr>
          <w:rFonts w:hint="eastAsia" w:ascii="Times New Roman" w:hAnsi="Times New Roman" w:cs="Times New Roman"/>
          <w:kern w:val="0"/>
          <w:sz w:val="28"/>
          <w:szCs w:val="28"/>
          <w:highlight w:val="none"/>
          <w:lang w:val="en-US" w:eastAsia="zh-CN"/>
        </w:rPr>
        <w:t>泽州县</w:t>
      </w:r>
      <w:r>
        <w:rPr>
          <w:rFonts w:hint="eastAsia" w:ascii="Times New Roman" w:hAnsi="Times New Roman" w:cs="Times New Roman"/>
          <w:kern w:val="0"/>
          <w:sz w:val="28"/>
          <w:szCs w:val="28"/>
          <w:highlight w:val="none"/>
        </w:rPr>
        <w:t>属于东部季风区暖温带半湿润地区，大陆性气候显著，年内四季分明。冬春季多风少雨雪；夏季受印度洋低压和太平洋副热带高压控制，形成流域的多雨季节，为河川径流的主要来源；秋季大气层结稳定，秋高气爽，有时细雨连绵，秋雨多</w:t>
      </w:r>
      <w:r>
        <w:rPr>
          <w:rFonts w:hint="eastAsia" w:ascii="Times New Roman" w:hAnsi="Times New Roman" w:cs="Times New Roman"/>
          <w:kern w:val="0"/>
          <w:sz w:val="28"/>
          <w:szCs w:val="28"/>
          <w:highlight w:val="none"/>
          <w:lang w:val="en-US" w:eastAsia="zh-CN"/>
        </w:rPr>
        <w:t>于</w:t>
      </w:r>
      <w:r>
        <w:rPr>
          <w:rFonts w:hint="eastAsia" w:ascii="Times New Roman" w:hAnsi="Times New Roman" w:cs="Times New Roman"/>
          <w:kern w:val="0"/>
          <w:sz w:val="28"/>
          <w:szCs w:val="28"/>
          <w:highlight w:val="none"/>
        </w:rPr>
        <w:t>春雨。</w:t>
      </w:r>
    </w:p>
    <w:p w14:paraId="0D57AC1D">
      <w:pPr>
        <w:pStyle w:val="60"/>
        <w:keepNext w:val="0"/>
        <w:keepLines w:val="0"/>
        <w:pageBreakBefore w:val="0"/>
        <w:widowControl w:val="0"/>
        <w:kinsoku/>
        <w:wordWrap/>
        <w:overflowPunct/>
        <w:topLinePunct w:val="0"/>
        <w:autoSpaceDE/>
        <w:autoSpaceDN/>
        <w:bidi w:val="0"/>
        <w:adjustRightInd w:val="0"/>
        <w:snapToGrid w:val="0"/>
        <w:spacing w:line="360" w:lineRule="auto"/>
        <w:ind w:left="0" w:firstLine="560" w:firstLineChars="200"/>
        <w:textAlignment w:val="auto"/>
        <w:rPr>
          <w:rFonts w:hint="eastAsia" w:ascii="Times New Roman" w:hAnsi="Times New Roman" w:cs="Times New Roman"/>
          <w:kern w:val="0"/>
          <w:sz w:val="28"/>
          <w:szCs w:val="28"/>
          <w:highlight w:val="none"/>
        </w:rPr>
      </w:pPr>
      <w:r>
        <w:rPr>
          <w:rFonts w:hint="eastAsia" w:ascii="Times New Roman" w:hAnsi="Times New Roman" w:cs="Times New Roman"/>
          <w:kern w:val="0"/>
          <w:sz w:val="28"/>
          <w:szCs w:val="28"/>
          <w:highlight w:val="none"/>
        </w:rPr>
        <w:t>气候具有较为明显的大陆性气候特征，属寒温半干燥气候区。年平均气温10.9℃，无霜期198天。年平均降雨量为628</w:t>
      </w:r>
      <w:r>
        <w:rPr>
          <w:rFonts w:hint="eastAsia" w:ascii="Times New Roman" w:hAnsi="Times New Roman" w:cs="Times New Roman"/>
          <w:kern w:val="0"/>
          <w:sz w:val="28"/>
          <w:szCs w:val="28"/>
          <w:highlight w:val="none"/>
          <w:lang w:val="en-US" w:eastAsia="zh-CN"/>
        </w:rPr>
        <w:t>mm</w:t>
      </w:r>
      <w:r>
        <w:rPr>
          <w:rFonts w:hint="eastAsia" w:ascii="Times New Roman" w:hAnsi="Times New Roman" w:cs="Times New Roman"/>
          <w:kern w:val="0"/>
          <w:sz w:val="28"/>
          <w:szCs w:val="28"/>
          <w:highlight w:val="none"/>
        </w:rPr>
        <w:t>，6-7月汛期降雨量占全年降雨量的80%以上。气候的主要特点为：春季少雨多风，夏季炎热多雨，秋季温和凉爽，冬季寒冷少雪，常有霜冻、冰雹、暴雨及大风等灾害性天气发生。</w:t>
      </w:r>
    </w:p>
    <w:p w14:paraId="2111AFE2">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bookmarkStart w:id="5" w:name="_Toc36060023"/>
      <w:r>
        <w:rPr>
          <w:rFonts w:hint="eastAsia" w:ascii="Times New Roman" w:hAnsi="Times New Roman" w:eastAsia="宋体"/>
          <w:lang w:val="en-US" w:eastAsia="zh-CN"/>
        </w:rPr>
        <w:t>1.1.4河湖水系</w:t>
      </w:r>
      <w:bookmarkEnd w:id="5"/>
    </w:p>
    <w:p w14:paraId="56FDCE1C">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eastAsia="宋体" w:cs="Times New Roman"/>
          <w:kern w:val="0"/>
          <w:sz w:val="28"/>
          <w:szCs w:val="28"/>
        </w:rPr>
      </w:pPr>
      <w:r>
        <w:rPr>
          <w:rFonts w:hint="eastAsia" w:ascii="Times New Roman" w:hAnsi="Times New Roman" w:eastAsia="宋体" w:cs="Times New Roman"/>
          <w:kern w:val="0"/>
          <w:sz w:val="28"/>
          <w:szCs w:val="28"/>
          <w:lang w:val="en-US" w:eastAsia="zh-CN"/>
        </w:rPr>
        <w:t>泽州</w:t>
      </w:r>
      <w:r>
        <w:rPr>
          <w:rFonts w:hint="default" w:ascii="Times New Roman" w:hAnsi="Times New Roman" w:eastAsia="宋体" w:cs="Times New Roman"/>
          <w:kern w:val="0"/>
          <w:sz w:val="28"/>
          <w:szCs w:val="28"/>
        </w:rPr>
        <w:t>县</w:t>
      </w:r>
      <w:r>
        <w:rPr>
          <w:rFonts w:hint="eastAsia" w:ascii="Times New Roman" w:hAnsi="Times New Roman" w:eastAsia="宋体" w:cs="Times New Roman"/>
          <w:kern w:val="0"/>
          <w:sz w:val="28"/>
          <w:szCs w:val="28"/>
          <w:lang w:val="en-US" w:eastAsia="zh-CN"/>
        </w:rPr>
        <w:t>境内</w:t>
      </w:r>
      <w:r>
        <w:rPr>
          <w:rFonts w:hint="default" w:ascii="Times New Roman" w:hAnsi="Times New Roman" w:eastAsia="宋体" w:cs="Times New Roman"/>
          <w:kern w:val="0"/>
          <w:sz w:val="28"/>
          <w:szCs w:val="28"/>
        </w:rPr>
        <w:t>河流众多，</w:t>
      </w:r>
      <w:r>
        <w:rPr>
          <w:rFonts w:hint="eastAsia" w:eastAsia="宋体" w:cs="Times New Roman"/>
          <w:snapToGrid w:val="0"/>
          <w:kern w:val="0"/>
          <w:sz w:val="28"/>
          <w:szCs w:val="28"/>
          <w:lang w:val="en-US" w:eastAsia="zh-CN"/>
        </w:rPr>
        <w:t>主要河流有沁河、丹河、长河、白水河、白洋泉河、东大河、卫河、北石店河、巴公河、大阳河、白涧河、大箕河、犁川河、</w:t>
      </w:r>
      <w:r>
        <w:rPr>
          <w:rFonts w:hint="eastAsia" w:eastAsia="宋体" w:cs="Times New Roman"/>
          <w:sz w:val="28"/>
          <w:szCs w:val="28"/>
          <w:highlight w:val="none"/>
          <w:lang w:val="en-US" w:eastAsia="zh-CN"/>
        </w:rPr>
        <w:t>南村</w:t>
      </w:r>
      <w:r>
        <w:rPr>
          <w:rFonts w:hint="default" w:ascii="Times New Roman" w:hAnsi="Times New Roman" w:eastAsia="宋体" w:cs="Times New Roman"/>
          <w:sz w:val="28"/>
          <w:szCs w:val="28"/>
          <w:highlight w:val="none"/>
          <w:lang w:val="en-US" w:eastAsia="zh-CN"/>
        </w:rPr>
        <w:t>河</w:t>
      </w:r>
      <w:r>
        <w:rPr>
          <w:rFonts w:hint="eastAsia" w:eastAsia="宋体" w:cs="Times New Roman"/>
          <w:sz w:val="28"/>
          <w:szCs w:val="28"/>
          <w:highlight w:val="none"/>
          <w:lang w:val="en-US" w:eastAsia="zh-CN"/>
        </w:rPr>
        <w:t>、仙神河、逍遥石河、冶底河、郑村河</w:t>
      </w:r>
      <w:r>
        <w:rPr>
          <w:rFonts w:hint="eastAsia" w:eastAsia="宋体" w:cs="Times New Roman"/>
          <w:snapToGrid w:val="0"/>
          <w:kern w:val="0"/>
          <w:sz w:val="28"/>
          <w:szCs w:val="28"/>
          <w:lang w:val="en-US" w:eastAsia="zh-CN"/>
        </w:rPr>
        <w:t>等。</w:t>
      </w:r>
      <w:r>
        <w:rPr>
          <w:rFonts w:hint="default" w:ascii="Times New Roman" w:hAnsi="Times New Roman" w:eastAsia="宋体" w:cs="Times New Roman"/>
          <w:kern w:val="0"/>
          <w:sz w:val="28"/>
          <w:szCs w:val="28"/>
        </w:rPr>
        <w:t>境内河流分属</w:t>
      </w:r>
      <w:r>
        <w:rPr>
          <w:rFonts w:hint="eastAsia" w:ascii="Times New Roman" w:hAnsi="Times New Roman" w:eastAsia="宋体" w:cs="Times New Roman"/>
          <w:kern w:val="0"/>
          <w:sz w:val="28"/>
          <w:szCs w:val="28"/>
          <w:lang w:val="en-US" w:eastAsia="zh-CN"/>
        </w:rPr>
        <w:t>黄</w:t>
      </w:r>
      <w:r>
        <w:rPr>
          <w:rFonts w:hint="default" w:ascii="Times New Roman" w:hAnsi="Times New Roman" w:eastAsia="宋体" w:cs="Times New Roman"/>
          <w:kern w:val="0"/>
          <w:sz w:val="28"/>
          <w:szCs w:val="28"/>
        </w:rPr>
        <w:t>河和</w:t>
      </w:r>
      <w:r>
        <w:rPr>
          <w:rFonts w:hint="eastAsia" w:ascii="Times New Roman" w:hAnsi="Times New Roman" w:eastAsia="宋体" w:cs="Times New Roman"/>
          <w:kern w:val="0"/>
          <w:sz w:val="28"/>
          <w:szCs w:val="28"/>
          <w:lang w:val="en-US" w:eastAsia="zh-CN"/>
        </w:rPr>
        <w:t>海</w:t>
      </w:r>
      <w:r>
        <w:rPr>
          <w:rFonts w:hint="default" w:ascii="Times New Roman" w:hAnsi="Times New Roman" w:eastAsia="宋体" w:cs="Times New Roman"/>
          <w:kern w:val="0"/>
          <w:sz w:val="28"/>
          <w:szCs w:val="28"/>
        </w:rPr>
        <w:t>河两大</w:t>
      </w:r>
      <w:r>
        <w:rPr>
          <w:rFonts w:hint="eastAsia" w:ascii="Times New Roman" w:hAnsi="Times New Roman" w:eastAsia="宋体" w:cs="Times New Roman"/>
          <w:kern w:val="0"/>
          <w:sz w:val="28"/>
          <w:szCs w:val="28"/>
          <w:lang w:val="en-US" w:eastAsia="zh-CN"/>
        </w:rPr>
        <w:t>流域</w:t>
      </w:r>
      <w:r>
        <w:rPr>
          <w:rFonts w:hint="default" w:ascii="Times New Roman" w:hAnsi="Times New Roman" w:eastAsia="宋体" w:cs="Times New Roman"/>
          <w:kern w:val="0"/>
          <w:sz w:val="28"/>
          <w:szCs w:val="28"/>
        </w:rPr>
        <w:t>，属于</w:t>
      </w:r>
      <w:r>
        <w:rPr>
          <w:rFonts w:hint="eastAsia" w:ascii="Times New Roman" w:hAnsi="Times New Roman" w:eastAsia="宋体" w:cs="Times New Roman"/>
          <w:kern w:val="0"/>
          <w:sz w:val="28"/>
          <w:szCs w:val="28"/>
          <w:lang w:val="en-US" w:eastAsia="zh-CN"/>
        </w:rPr>
        <w:t>海</w:t>
      </w:r>
      <w:r>
        <w:rPr>
          <w:rFonts w:hint="default" w:ascii="Times New Roman" w:hAnsi="Times New Roman" w:eastAsia="宋体" w:cs="Times New Roman"/>
          <w:kern w:val="0"/>
          <w:sz w:val="28"/>
          <w:szCs w:val="28"/>
        </w:rPr>
        <w:t>河</w:t>
      </w:r>
      <w:r>
        <w:rPr>
          <w:rFonts w:hint="eastAsia" w:ascii="Times New Roman" w:hAnsi="Times New Roman" w:eastAsia="宋体" w:cs="Times New Roman"/>
          <w:kern w:val="0"/>
          <w:sz w:val="28"/>
          <w:szCs w:val="28"/>
          <w:lang w:val="en-US" w:eastAsia="zh-CN"/>
        </w:rPr>
        <w:t>流域的主要为卫河</w:t>
      </w:r>
      <w:r>
        <w:rPr>
          <w:rFonts w:hint="default" w:ascii="Times New Roman" w:hAnsi="Times New Roman" w:eastAsia="宋体" w:cs="Times New Roman"/>
          <w:kern w:val="0"/>
          <w:sz w:val="28"/>
          <w:szCs w:val="28"/>
        </w:rPr>
        <w:t>；</w:t>
      </w:r>
      <w:r>
        <w:rPr>
          <w:rFonts w:hint="eastAsia" w:ascii="Times New Roman" w:hAnsi="Times New Roman" w:eastAsia="宋体" w:cs="Times New Roman"/>
          <w:kern w:val="0"/>
          <w:sz w:val="28"/>
          <w:szCs w:val="28"/>
          <w:lang w:val="en-US" w:eastAsia="zh-CN"/>
        </w:rPr>
        <w:t>其余河道均</w:t>
      </w:r>
      <w:r>
        <w:rPr>
          <w:rFonts w:hint="default" w:ascii="Times New Roman" w:hAnsi="Times New Roman" w:eastAsia="宋体" w:cs="Times New Roman"/>
          <w:kern w:val="0"/>
          <w:sz w:val="28"/>
          <w:szCs w:val="28"/>
        </w:rPr>
        <w:t>属于</w:t>
      </w:r>
      <w:r>
        <w:rPr>
          <w:rFonts w:hint="eastAsia" w:ascii="Times New Roman" w:hAnsi="Times New Roman" w:eastAsia="宋体" w:cs="Times New Roman"/>
          <w:kern w:val="0"/>
          <w:sz w:val="28"/>
          <w:szCs w:val="28"/>
          <w:lang w:val="en-US" w:eastAsia="zh-CN"/>
        </w:rPr>
        <w:t>黄</w:t>
      </w:r>
      <w:r>
        <w:rPr>
          <w:rFonts w:hint="default" w:ascii="Times New Roman" w:hAnsi="Times New Roman" w:eastAsia="宋体" w:cs="Times New Roman"/>
          <w:kern w:val="0"/>
          <w:sz w:val="28"/>
          <w:szCs w:val="28"/>
        </w:rPr>
        <w:t>河</w:t>
      </w:r>
      <w:r>
        <w:rPr>
          <w:rFonts w:hint="eastAsia" w:ascii="Times New Roman" w:hAnsi="Times New Roman" w:eastAsia="宋体" w:cs="Times New Roman"/>
          <w:kern w:val="0"/>
          <w:sz w:val="28"/>
          <w:szCs w:val="28"/>
          <w:lang w:val="en-US" w:eastAsia="zh-CN"/>
        </w:rPr>
        <w:t>流域沁河水系</w:t>
      </w:r>
      <w:r>
        <w:rPr>
          <w:rFonts w:hint="default" w:ascii="Times New Roman" w:hAnsi="Times New Roman" w:eastAsia="宋体" w:cs="Times New Roman"/>
          <w:kern w:val="0"/>
          <w:sz w:val="28"/>
          <w:szCs w:val="28"/>
        </w:rPr>
        <w:t>。</w:t>
      </w:r>
    </w:p>
    <w:p w14:paraId="530D0341">
      <w:pPr>
        <w:pStyle w:val="60"/>
        <w:keepNext w:val="0"/>
        <w:keepLines w:val="0"/>
        <w:pageBreakBefore w:val="0"/>
        <w:widowControl w:val="0"/>
        <w:numPr>
          <w:ilvl w:val="0"/>
          <w:numId w:val="1"/>
        </w:numPr>
        <w:kinsoku/>
        <w:wordWrap/>
        <w:overflowPunct/>
        <w:topLinePunct w:val="0"/>
        <w:autoSpaceDE/>
        <w:autoSpaceDN/>
        <w:bidi w:val="0"/>
        <w:snapToGrid w:val="0"/>
        <w:spacing w:line="360" w:lineRule="auto"/>
        <w:ind w:firstLine="560" w:firstLineChars="200"/>
        <w:textAlignment w:val="auto"/>
        <w:rPr>
          <w:rFonts w:hint="default" w:ascii="Times New Roman" w:hAnsi="Times New Roman" w:eastAsia="宋体" w:cs="Times New Roman"/>
          <w:kern w:val="0"/>
          <w:sz w:val="28"/>
          <w:szCs w:val="28"/>
        </w:rPr>
      </w:pPr>
      <w:r>
        <w:rPr>
          <w:rFonts w:hint="eastAsia" w:ascii="Times New Roman" w:hAnsi="Times New Roman" w:eastAsia="宋体" w:cs="Times New Roman"/>
          <w:sz w:val="28"/>
          <w:szCs w:val="28"/>
          <w:lang w:val="en-US" w:eastAsia="zh-CN"/>
        </w:rPr>
        <w:t>沁河：</w:t>
      </w:r>
      <w:r>
        <w:rPr>
          <w:rFonts w:hint="default" w:ascii="Times New Roman" w:hAnsi="Times New Roman" w:eastAsia="宋体" w:cs="Times New Roman"/>
          <w:kern w:val="0"/>
          <w:sz w:val="28"/>
          <w:szCs w:val="28"/>
        </w:rPr>
        <w:t>沁河是黄河的一级支流，晋城市最大的过境河流，发源于山西省沁源县西北太岳山东麓的二郎神沟，流经长治市的沁源县、临汾市的安泽县，在沁水县的冯庄村龙门口流入晋城市，经沁水县、阳城县、泽州县，在泽州县的栓驴泉流入河南省武陟县汇入黄河。</w:t>
      </w:r>
      <w:r>
        <w:rPr>
          <w:rFonts w:hint="eastAsia" w:ascii="Times New Roman" w:hAnsi="Times New Roman" w:cs="Times New Roman"/>
          <w:kern w:val="0"/>
          <w:sz w:val="28"/>
          <w:szCs w:val="28"/>
          <w:lang w:val="en-US" w:eastAsia="zh-CN"/>
        </w:rPr>
        <w:t>沁河晋城市</w:t>
      </w:r>
      <w:r>
        <w:rPr>
          <w:rFonts w:hint="default" w:ascii="Times New Roman" w:hAnsi="Times New Roman" w:eastAsia="宋体" w:cs="Times New Roman"/>
          <w:snapToGrid w:val="0"/>
          <w:kern w:val="0"/>
          <w:sz w:val="28"/>
          <w:szCs w:val="28"/>
        </w:rPr>
        <w:t>境内沁河长168km，落差449m，平均坡降2.7‰，流域面积4856km</w:t>
      </w:r>
      <w:r>
        <w:rPr>
          <w:rFonts w:hint="default" w:ascii="Times New Roman" w:hAnsi="Times New Roman" w:eastAsia="宋体" w:cs="Times New Roman"/>
          <w:snapToGrid w:val="0"/>
          <w:kern w:val="0"/>
          <w:sz w:val="28"/>
          <w:szCs w:val="28"/>
          <w:vertAlign w:val="superscript"/>
        </w:rPr>
        <w:t>2</w:t>
      </w:r>
      <w:r>
        <w:rPr>
          <w:rFonts w:hint="default" w:ascii="Times New Roman" w:hAnsi="Times New Roman" w:eastAsia="宋体" w:cs="Times New Roman"/>
          <w:snapToGrid w:val="0"/>
          <w:kern w:val="0"/>
          <w:sz w:val="28"/>
          <w:szCs w:val="28"/>
        </w:rPr>
        <w:t>。</w:t>
      </w:r>
    </w:p>
    <w:p w14:paraId="4FE2A5E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2.丹河：</w:t>
      </w:r>
      <w:r>
        <w:rPr>
          <w:rFonts w:hint="default" w:ascii="Times New Roman" w:hAnsi="Times New Roman" w:eastAsia="宋体" w:cs="Times New Roman"/>
          <w:sz w:val="28"/>
          <w:szCs w:val="28"/>
          <w:lang w:val="en-US" w:eastAsia="zh-CN"/>
        </w:rPr>
        <w:t>丹河是沁河最大的支流，地理位置介于东经112°42′~113°25′，北纬35°16′~35°58′之间。丹河发源于高平市寺庄镇丹朱岭，河流曲折东南经泽州县北义城</w:t>
      </w:r>
      <w:r>
        <w:rPr>
          <w:rFonts w:hint="eastAsia" w:eastAsia="宋体" w:cs="Times New Roman"/>
          <w:sz w:val="28"/>
          <w:szCs w:val="28"/>
          <w:lang w:val="en-US" w:eastAsia="zh-CN"/>
        </w:rPr>
        <w:t>镇</w:t>
      </w:r>
      <w:r>
        <w:rPr>
          <w:rFonts w:hint="default" w:ascii="Times New Roman" w:hAnsi="Times New Roman" w:eastAsia="宋体" w:cs="Times New Roman"/>
          <w:sz w:val="28"/>
          <w:szCs w:val="28"/>
          <w:lang w:val="en-US" w:eastAsia="zh-CN"/>
        </w:rPr>
        <w:t>河底村附近折向南流，于泽州县之西谷坨村附近出境，在河南省山路平出太行山，经博爱至沁阳县北金村注入沁河，沿途流经泽州县的北义城、高都、金村、柳树口、大</w:t>
      </w:r>
      <w:r>
        <w:rPr>
          <w:rFonts w:hint="eastAsia" w:ascii="Times New Roman" w:hAnsi="Times New Roman" w:eastAsia="宋体" w:cs="Times New Roman"/>
          <w:sz w:val="28"/>
          <w:szCs w:val="28"/>
          <w:lang w:val="en-US" w:eastAsia="zh-CN"/>
        </w:rPr>
        <w:t>箕</w:t>
      </w:r>
      <w:r>
        <w:rPr>
          <w:rFonts w:hint="default" w:ascii="Times New Roman" w:hAnsi="Times New Roman" w:eastAsia="宋体" w:cs="Times New Roman"/>
          <w:sz w:val="28"/>
          <w:szCs w:val="28"/>
          <w:lang w:val="en-US" w:eastAsia="zh-CN"/>
        </w:rPr>
        <w:t>等乡镇。丹河在山西省内流域面积2945km</w:t>
      </w:r>
      <w:r>
        <w:rPr>
          <w:rFonts w:hint="default" w:ascii="Times New Roman" w:hAnsi="Times New Roman" w:eastAsia="宋体" w:cs="Times New Roman"/>
          <w:sz w:val="28"/>
          <w:szCs w:val="28"/>
          <w:vertAlign w:val="superscript"/>
          <w:lang w:val="en-US" w:eastAsia="zh-CN"/>
        </w:rPr>
        <w:t>2</w:t>
      </w:r>
      <w:r>
        <w:rPr>
          <w:rFonts w:hint="eastAsia" w:eastAsia="宋体" w:cs="Times New Roman"/>
          <w:sz w:val="28"/>
          <w:szCs w:val="28"/>
          <w:vertAlign w:val="baseline"/>
          <w:lang w:val="en-US" w:eastAsia="zh-CN"/>
        </w:rPr>
        <w:t>，</w:t>
      </w:r>
      <w:r>
        <w:rPr>
          <w:rFonts w:hint="default" w:ascii="Times New Roman" w:hAnsi="Times New Roman" w:eastAsia="宋体" w:cs="Times New Roman"/>
          <w:sz w:val="28"/>
          <w:szCs w:val="28"/>
          <w:lang w:val="en-US" w:eastAsia="zh-CN"/>
        </w:rPr>
        <w:t>为</w:t>
      </w:r>
      <w:r>
        <w:rPr>
          <w:rFonts w:hint="eastAsia" w:eastAsia="宋体" w:cs="Times New Roman"/>
          <w:sz w:val="28"/>
          <w:szCs w:val="28"/>
          <w:lang w:val="en-US" w:eastAsia="zh-CN"/>
        </w:rPr>
        <w:t>常</w:t>
      </w:r>
      <w:r>
        <w:rPr>
          <w:rFonts w:hint="default" w:ascii="Times New Roman" w:hAnsi="Times New Roman" w:eastAsia="宋体" w:cs="Times New Roman"/>
          <w:sz w:val="28"/>
          <w:szCs w:val="28"/>
          <w:lang w:val="en-US" w:eastAsia="zh-CN"/>
        </w:rPr>
        <w:t>流河，河流全长129km，</w:t>
      </w:r>
      <w:r>
        <w:rPr>
          <w:rFonts w:hint="eastAsia" w:ascii="Times New Roman" w:hAnsi="Times New Roman" w:eastAsia="宋体" w:cs="Times New Roman"/>
          <w:sz w:val="28"/>
          <w:szCs w:val="28"/>
          <w:lang w:val="en-US" w:eastAsia="zh-CN"/>
        </w:rPr>
        <w:t>其中泽州段长72.58km，</w:t>
      </w:r>
      <w:r>
        <w:rPr>
          <w:rFonts w:hint="default" w:ascii="Times New Roman" w:hAnsi="Times New Roman" w:eastAsia="宋体" w:cs="Times New Roman"/>
          <w:sz w:val="28"/>
          <w:szCs w:val="28"/>
          <w:lang w:val="en-US" w:eastAsia="zh-CN"/>
        </w:rPr>
        <w:t>泽州县境内较大的支流汇入口有东大河、巴公河、北石店河、白洋泉河</w:t>
      </w:r>
      <w:r>
        <w:rPr>
          <w:rFonts w:hint="eastAsia" w:ascii="Times New Roman" w:hAnsi="Times New Roman" w:eastAsia="宋体" w:cs="Times New Roman"/>
          <w:sz w:val="28"/>
          <w:szCs w:val="28"/>
          <w:lang w:val="en-US" w:eastAsia="zh-CN"/>
        </w:rPr>
        <w:t>，</w:t>
      </w:r>
      <w:r>
        <w:rPr>
          <w:rFonts w:hint="eastAsia" w:eastAsia="宋体" w:cs="Times New Roman"/>
          <w:sz w:val="28"/>
          <w:szCs w:val="28"/>
          <w:lang w:val="en-US" w:eastAsia="zh-CN"/>
        </w:rPr>
        <w:t>干流上</w:t>
      </w:r>
      <w:r>
        <w:rPr>
          <w:rFonts w:hint="eastAsia" w:ascii="Times New Roman" w:hAnsi="Times New Roman" w:eastAsia="宋体" w:cs="Times New Roman"/>
          <w:sz w:val="28"/>
          <w:szCs w:val="28"/>
          <w:lang w:val="en-US" w:eastAsia="zh-CN"/>
        </w:rPr>
        <w:t>水库有任庄水库、东焦河水库、围滩水库。</w:t>
      </w:r>
    </w:p>
    <w:p w14:paraId="36B250B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3.长河：长河位于泽州县西北部，地理位置介于东经112°31′~113°14′，北纬35°12′~35°42′之间，发源于</w:t>
      </w:r>
      <w:r>
        <w:rPr>
          <w:rFonts w:hint="eastAsia" w:eastAsia="宋体" w:cs="Times New Roman"/>
          <w:sz w:val="28"/>
          <w:szCs w:val="28"/>
          <w:lang w:val="en-US" w:eastAsia="zh-CN"/>
        </w:rPr>
        <w:t>泽州县</w:t>
      </w:r>
      <w:r>
        <w:rPr>
          <w:rFonts w:hint="default" w:ascii="Times New Roman" w:hAnsi="Times New Roman" w:eastAsia="宋体" w:cs="Times New Roman"/>
          <w:sz w:val="28"/>
          <w:szCs w:val="28"/>
          <w:lang w:val="en-US" w:eastAsia="zh-CN"/>
        </w:rPr>
        <w:t>上河掌村西的武神山，河流走向由北向南，依次流经泽州县的下村镇、大东沟镇、川底</w:t>
      </w:r>
      <w:r>
        <w:rPr>
          <w:rFonts w:hint="eastAsia" w:eastAsia="宋体" w:cs="Times New Roman"/>
          <w:sz w:val="28"/>
          <w:szCs w:val="28"/>
          <w:lang w:val="en-US" w:eastAsia="zh-CN"/>
        </w:rPr>
        <w:t>镇</w:t>
      </w:r>
      <w:r>
        <w:rPr>
          <w:rFonts w:hint="default" w:ascii="Times New Roman" w:hAnsi="Times New Roman" w:eastAsia="宋体" w:cs="Times New Roman"/>
          <w:sz w:val="28"/>
          <w:szCs w:val="28"/>
          <w:lang w:val="en-US" w:eastAsia="zh-CN"/>
        </w:rPr>
        <w:t>、周村镇、</w:t>
      </w:r>
      <w:r>
        <w:rPr>
          <w:rFonts w:hint="eastAsia" w:eastAsia="宋体" w:cs="Times New Roman"/>
          <w:sz w:val="28"/>
          <w:szCs w:val="28"/>
          <w:lang w:val="en-US" w:eastAsia="zh-CN"/>
        </w:rPr>
        <w:t>南岭镇</w:t>
      </w:r>
      <w:r>
        <w:rPr>
          <w:rFonts w:hint="default" w:ascii="Times New Roman" w:hAnsi="Times New Roman" w:eastAsia="宋体" w:cs="Times New Roman"/>
          <w:sz w:val="28"/>
          <w:szCs w:val="28"/>
          <w:lang w:val="en-US" w:eastAsia="zh-CN"/>
        </w:rPr>
        <w:t>与阳城县的北留镇交界带，在阳城县与泽州县交界处的西龙汇入沁河，全长54.8km，全流域面积317km</w:t>
      </w:r>
      <w:r>
        <w:rPr>
          <w:rFonts w:hint="default" w:ascii="Times New Roman" w:hAnsi="Times New Roman" w:eastAsia="宋体" w:cs="Times New Roman"/>
          <w:sz w:val="28"/>
          <w:szCs w:val="28"/>
          <w:vertAlign w:val="superscript"/>
          <w:lang w:val="en-US" w:eastAsia="zh-CN"/>
        </w:rPr>
        <w:t>2</w:t>
      </w:r>
      <w:r>
        <w:rPr>
          <w:rFonts w:hint="default" w:ascii="Times New Roman" w:hAnsi="Times New Roman" w:eastAsia="宋体" w:cs="Times New Roman"/>
          <w:sz w:val="28"/>
          <w:szCs w:val="28"/>
          <w:lang w:val="en-US" w:eastAsia="zh-CN"/>
        </w:rPr>
        <w:t>。河道平均坡降10.5‰。</w:t>
      </w:r>
      <w:r>
        <w:rPr>
          <w:rFonts w:hint="eastAsia" w:eastAsia="宋体" w:cs="Times New Roman"/>
          <w:sz w:val="28"/>
          <w:szCs w:val="28"/>
          <w:lang w:val="en-US" w:eastAsia="zh-CN"/>
        </w:rPr>
        <w:t>长河干流上</w:t>
      </w:r>
      <w:r>
        <w:rPr>
          <w:rFonts w:hint="eastAsia" w:ascii="Times New Roman" w:hAnsi="Times New Roman" w:eastAsia="宋体" w:cs="Times New Roman"/>
          <w:sz w:val="28"/>
          <w:szCs w:val="28"/>
          <w:lang w:val="en-US" w:eastAsia="zh-CN"/>
        </w:rPr>
        <w:t>建有万里水库、长河水库、圪套水库。</w:t>
      </w:r>
    </w:p>
    <w:p w14:paraId="60E1871A">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4.白水河：</w:t>
      </w:r>
      <w:r>
        <w:rPr>
          <w:rFonts w:hint="default" w:ascii="Times New Roman" w:hAnsi="Times New Roman" w:eastAsia="宋体" w:cs="Times New Roman"/>
          <w:color w:val="000000"/>
          <w:kern w:val="0"/>
          <w:sz w:val="28"/>
          <w:szCs w:val="28"/>
          <w:lang w:val="en-US" w:eastAsia="zh-CN" w:bidi="ar"/>
        </w:rPr>
        <w:t>白水河属黄河流域沁河水系丹河的一级支流，地理位置位于东经112°43′～112°59′，北纬35°16′～35°35′之间，发源于晋城市西北的伊侯山，河流由北向南流经城区西上庄、北街、西街、南街、东街、钟家庄及泽州县大箕</w:t>
      </w:r>
      <w:r>
        <w:rPr>
          <w:rFonts w:hint="eastAsia" w:eastAsia="宋体" w:cs="Times New Roman"/>
          <w:color w:val="000000"/>
          <w:kern w:val="0"/>
          <w:sz w:val="28"/>
          <w:szCs w:val="28"/>
          <w:lang w:val="en-US" w:eastAsia="zh-CN" w:bidi="ar"/>
        </w:rPr>
        <w:t>镇</w:t>
      </w:r>
      <w:r>
        <w:rPr>
          <w:rFonts w:hint="default" w:ascii="Times New Roman" w:hAnsi="Times New Roman" w:eastAsia="宋体" w:cs="Times New Roman"/>
          <w:color w:val="000000"/>
          <w:kern w:val="0"/>
          <w:sz w:val="28"/>
          <w:szCs w:val="28"/>
          <w:lang w:val="en-US" w:eastAsia="zh-CN" w:bidi="ar"/>
        </w:rPr>
        <w:t>，共一区一县的6个办事处1个乡镇，于山西省泽州县大箕镇两谷坨村汇入丹河干流。流域总面积415km</w:t>
      </w:r>
      <w:r>
        <w:rPr>
          <w:rFonts w:hint="default" w:ascii="Times New Roman" w:hAnsi="Times New Roman" w:eastAsia="宋体" w:cs="Times New Roman"/>
          <w:color w:val="000000"/>
          <w:kern w:val="0"/>
          <w:sz w:val="28"/>
          <w:szCs w:val="28"/>
          <w:vertAlign w:val="superscript"/>
          <w:lang w:val="en-US" w:eastAsia="zh-CN" w:bidi="ar"/>
        </w:rPr>
        <w:t>2</w:t>
      </w:r>
      <w:r>
        <w:rPr>
          <w:rFonts w:hint="default" w:ascii="Times New Roman" w:hAnsi="Times New Roman" w:eastAsia="宋体" w:cs="Times New Roman"/>
          <w:color w:val="000000"/>
          <w:kern w:val="0"/>
          <w:sz w:val="28"/>
          <w:szCs w:val="28"/>
          <w:lang w:val="en-US" w:eastAsia="zh-CN" w:bidi="ar"/>
        </w:rPr>
        <w:t>，流域长度54km，流域平均纵坡7‰。</w:t>
      </w:r>
      <w:r>
        <w:rPr>
          <w:rFonts w:hint="eastAsia" w:eastAsia="宋体" w:cs="Times New Roman"/>
          <w:color w:val="000000"/>
          <w:kern w:val="0"/>
          <w:sz w:val="28"/>
          <w:szCs w:val="28"/>
          <w:lang w:val="en-US" w:eastAsia="zh-CN" w:bidi="ar"/>
        </w:rPr>
        <w:t>泽州县境内干流上</w:t>
      </w:r>
      <w:r>
        <w:rPr>
          <w:rFonts w:hint="eastAsia" w:ascii="Times New Roman" w:hAnsi="Times New Roman" w:eastAsia="宋体" w:cs="Times New Roman"/>
          <w:color w:val="000000"/>
          <w:kern w:val="0"/>
          <w:sz w:val="28"/>
          <w:szCs w:val="28"/>
          <w:lang w:val="en-US" w:eastAsia="zh-CN" w:bidi="ar"/>
        </w:rPr>
        <w:t>建有白水河水库。</w:t>
      </w:r>
    </w:p>
    <w:p w14:paraId="7B660FE3">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5.白洋泉河：</w:t>
      </w:r>
      <w:r>
        <w:rPr>
          <w:rFonts w:hint="default" w:ascii="Times New Roman" w:hAnsi="Times New Roman" w:eastAsia="宋体" w:cs="Times New Roman"/>
          <w:color w:val="000000"/>
          <w:kern w:val="0"/>
          <w:sz w:val="28"/>
          <w:szCs w:val="28"/>
          <w:lang w:val="en-US" w:eastAsia="zh-CN" w:bidi="ar"/>
        </w:rPr>
        <w:t>白洋泉河属于丹河的一级支流，地理位置位于东经113°01′-113°25′，北纬35°27′-35°48′之间，发源于陵川县城东10km的六泉乡廖池村，向西南流经陵川县潞城镇冶南、脚头、娄头、大河西、石掌、上郊、潞城、义门、郊底、附城镇柏崖、丈河、台北等地，于泽州县柳树口镇圪针掌汇入丹河干流。白洋泉河流域面积626.3km</w:t>
      </w:r>
      <w:r>
        <w:rPr>
          <w:rFonts w:hint="default" w:ascii="Times New Roman" w:hAnsi="Times New Roman" w:eastAsia="宋体" w:cs="Times New Roman"/>
          <w:color w:val="000000"/>
          <w:kern w:val="0"/>
          <w:sz w:val="28"/>
          <w:szCs w:val="28"/>
          <w:vertAlign w:val="superscript"/>
          <w:lang w:val="en-US" w:eastAsia="zh-CN" w:bidi="ar"/>
        </w:rPr>
        <w:t>2</w:t>
      </w:r>
      <w:r>
        <w:rPr>
          <w:rFonts w:hint="default" w:ascii="Times New Roman" w:hAnsi="Times New Roman" w:eastAsia="宋体" w:cs="Times New Roman"/>
          <w:color w:val="000000"/>
          <w:kern w:val="0"/>
          <w:sz w:val="28"/>
          <w:szCs w:val="28"/>
          <w:lang w:val="en-US" w:eastAsia="zh-CN" w:bidi="ar"/>
        </w:rPr>
        <w:t>，干流全长76.5km，平均纵坡10.2‰。</w:t>
      </w:r>
    </w:p>
    <w:p w14:paraId="13327A5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 w:val="28"/>
          <w:szCs w:val="28"/>
          <w:lang w:val="en-US" w:eastAsia="zh-CN"/>
        </w:rPr>
      </w:pPr>
      <w:r>
        <w:rPr>
          <w:rFonts w:hint="eastAsia" w:eastAsia="宋体" w:cs="Times New Roman"/>
          <w:sz w:val="28"/>
          <w:szCs w:val="28"/>
          <w:lang w:val="en-US" w:eastAsia="zh-CN"/>
        </w:rPr>
        <w:t>6</w:t>
      </w:r>
      <w:r>
        <w:rPr>
          <w:rFonts w:hint="default" w:ascii="Times New Roman" w:hAnsi="Times New Roman" w:eastAsia="宋体" w:cs="Times New Roman"/>
          <w:sz w:val="28"/>
          <w:szCs w:val="28"/>
          <w:lang w:val="en-US" w:eastAsia="zh-CN"/>
        </w:rPr>
        <w:t>.</w:t>
      </w:r>
      <w:r>
        <w:rPr>
          <w:rFonts w:hint="eastAsia" w:eastAsia="宋体" w:cs="Times New Roman"/>
          <w:sz w:val="28"/>
          <w:szCs w:val="28"/>
          <w:lang w:val="en-US" w:eastAsia="zh-CN"/>
        </w:rPr>
        <w:t>东大</w:t>
      </w:r>
      <w:r>
        <w:rPr>
          <w:rFonts w:hint="default" w:ascii="Times New Roman" w:hAnsi="Times New Roman" w:eastAsia="宋体" w:cs="Times New Roman"/>
          <w:sz w:val="28"/>
          <w:szCs w:val="28"/>
          <w:lang w:val="en-US" w:eastAsia="zh-CN"/>
        </w:rPr>
        <w:t>河：东大河是丹河的一级支流，位于东经113°~113°15.04′，北纬35°40.744′~35°52.611′之间。发源于陵川县平城镇寺背村，向西南流经陵川县</w:t>
      </w:r>
      <w:r>
        <w:rPr>
          <w:rFonts w:hint="eastAsia" w:eastAsia="宋体" w:cs="Times New Roman"/>
          <w:sz w:val="28"/>
          <w:szCs w:val="28"/>
          <w:lang w:val="en-US" w:eastAsia="zh-CN"/>
        </w:rPr>
        <w:t>、</w:t>
      </w:r>
      <w:r>
        <w:rPr>
          <w:rFonts w:hint="default" w:ascii="Times New Roman" w:hAnsi="Times New Roman" w:eastAsia="宋体" w:cs="Times New Roman"/>
          <w:sz w:val="28"/>
          <w:szCs w:val="28"/>
          <w:lang w:val="en-US" w:eastAsia="zh-CN"/>
        </w:rPr>
        <w:t>高平市</w:t>
      </w:r>
      <w:r>
        <w:rPr>
          <w:rFonts w:hint="eastAsia" w:eastAsia="宋体" w:cs="Times New Roman"/>
          <w:sz w:val="28"/>
          <w:szCs w:val="28"/>
          <w:lang w:val="en-US" w:eastAsia="zh-CN"/>
        </w:rPr>
        <w:t>，</w:t>
      </w:r>
      <w:r>
        <w:rPr>
          <w:rFonts w:hint="default" w:ascii="Times New Roman" w:hAnsi="Times New Roman" w:eastAsia="宋体" w:cs="Times New Roman"/>
          <w:sz w:val="28"/>
          <w:szCs w:val="28"/>
          <w:lang w:val="en-US" w:eastAsia="zh-CN"/>
        </w:rPr>
        <w:t>自泽州县北义城镇黍米山村进入泽州县后又流经高平市河西镇永宁寨村，后又在泽州县北义城镇鲁村村进入泽州县，在丹河底村汇入丹河，流域水系呈扇形状。东大河干流长度45km，主河道平均纵坡7.91‰</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流域面积485km</w:t>
      </w:r>
      <w:r>
        <w:rPr>
          <w:rFonts w:hint="default" w:ascii="Times New Roman" w:hAnsi="Times New Roman" w:eastAsia="宋体" w:cs="Times New Roman"/>
          <w:sz w:val="28"/>
          <w:szCs w:val="28"/>
          <w:vertAlign w:val="superscript"/>
          <w:lang w:val="en-US" w:eastAsia="zh-CN"/>
        </w:rPr>
        <w:t>2</w:t>
      </w:r>
      <w:r>
        <w:rPr>
          <w:rFonts w:hint="default" w:ascii="Times New Roman" w:hAnsi="Times New Roman" w:eastAsia="宋体" w:cs="Times New Roman"/>
          <w:sz w:val="28"/>
          <w:szCs w:val="28"/>
          <w:lang w:val="en-US" w:eastAsia="zh-CN"/>
        </w:rPr>
        <w:t>，其中泽州县内流域面积为13.9km</w:t>
      </w:r>
      <w:r>
        <w:rPr>
          <w:rFonts w:hint="default" w:ascii="Times New Roman" w:hAnsi="Times New Roman" w:eastAsia="宋体" w:cs="Times New Roman"/>
          <w:sz w:val="28"/>
          <w:szCs w:val="28"/>
          <w:vertAlign w:val="superscript"/>
          <w:lang w:val="en-US" w:eastAsia="zh-CN"/>
        </w:rPr>
        <w:t>2</w:t>
      </w:r>
      <w:r>
        <w:rPr>
          <w:rFonts w:hint="eastAsia" w:eastAsia="宋体" w:cs="Times New Roman"/>
          <w:sz w:val="28"/>
          <w:szCs w:val="28"/>
          <w:lang w:val="en-US" w:eastAsia="zh-CN"/>
        </w:rPr>
        <w:t>。</w:t>
      </w:r>
    </w:p>
    <w:p w14:paraId="783577D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lang w:val="en-US" w:eastAsia="zh-CN"/>
        </w:rPr>
        <w:t>.</w:t>
      </w:r>
      <w:r>
        <w:rPr>
          <w:rFonts w:hint="eastAsia" w:ascii="Times New Roman" w:hAnsi="Times New Roman" w:eastAsia="宋体" w:cs="Times New Roman"/>
          <w:sz w:val="28"/>
          <w:szCs w:val="28"/>
          <w:lang w:val="en-US" w:eastAsia="zh-CN"/>
        </w:rPr>
        <w:t>卫</w:t>
      </w:r>
      <w:r>
        <w:rPr>
          <w:rFonts w:hint="default" w:ascii="Times New Roman" w:hAnsi="Times New Roman" w:eastAsia="宋体" w:cs="Times New Roman"/>
          <w:sz w:val="28"/>
          <w:szCs w:val="28"/>
          <w:lang w:val="en-US" w:eastAsia="zh-CN"/>
        </w:rPr>
        <w:t>河：</w:t>
      </w:r>
      <w:r>
        <w:rPr>
          <w:rFonts w:hint="eastAsia" w:ascii="Times New Roman" w:hAnsi="Times New Roman" w:eastAsia="宋体" w:cs="Times New Roman"/>
          <w:sz w:val="28"/>
          <w:szCs w:val="28"/>
          <w:lang w:val="en-US" w:eastAsia="zh-CN"/>
        </w:rPr>
        <w:t>卫河为海河的一级支流，为海河的五大支流之一，发源于山西省陵川县夺火乡鱼池村，干流流经山西省陵川县、泽州县、河南省博爱县、焦作中站区、武陟县、焦作山阳区、修武县、辉县市、获嘉县、新乡县、新乡卫滨区、新乡红旗区、新乡牧野区、新乡凤泉区、卫辉市、滑县、浚县、汤阴县、内黄县、清丰县、河北省魏县、河南省南乐县、河北省大名县、山东省冠县，在河北省大名县营镇回族乡北周庄与漳河汇流成为卫运河（漳卫河）。卫河流域面积</w:t>
      </w:r>
      <w:r>
        <w:rPr>
          <w:rFonts w:hint="default" w:ascii="Times New Roman" w:hAnsi="Times New Roman" w:eastAsia="宋体" w:cs="Times New Roman"/>
          <w:sz w:val="28"/>
          <w:szCs w:val="28"/>
          <w:lang w:val="en-US" w:eastAsia="zh-CN"/>
        </w:rPr>
        <w:t>14834km</w:t>
      </w:r>
      <w:r>
        <w:rPr>
          <w:rFonts w:hint="default" w:ascii="Times New Roman" w:hAnsi="Times New Roman" w:eastAsia="宋体" w:cs="Times New Roman"/>
          <w:sz w:val="28"/>
          <w:szCs w:val="28"/>
          <w:vertAlign w:val="superscript"/>
          <w:lang w:val="en-US" w:eastAsia="zh-CN"/>
        </w:rPr>
        <w:t>2</w:t>
      </w:r>
      <w:r>
        <w:rPr>
          <w:rFonts w:hint="eastAsia" w:ascii="Times New Roman" w:hAnsi="Times New Roman" w:eastAsia="宋体" w:cs="Times New Roman"/>
          <w:sz w:val="28"/>
          <w:szCs w:val="28"/>
          <w:lang w:val="en-US" w:eastAsia="zh-CN"/>
        </w:rPr>
        <w:t>，干流全长</w:t>
      </w:r>
      <w:r>
        <w:rPr>
          <w:rFonts w:hint="default" w:ascii="Times New Roman" w:hAnsi="Times New Roman" w:eastAsia="宋体" w:cs="Times New Roman"/>
          <w:sz w:val="28"/>
          <w:szCs w:val="28"/>
          <w:lang w:val="en-US" w:eastAsia="zh-CN"/>
        </w:rPr>
        <w:t>411km</w:t>
      </w:r>
      <w:r>
        <w:rPr>
          <w:rFonts w:hint="eastAsia" w:ascii="Times New Roman" w:hAnsi="Times New Roman" w:eastAsia="宋体" w:cs="Times New Roman"/>
          <w:sz w:val="28"/>
          <w:szCs w:val="28"/>
          <w:lang w:val="en-US" w:eastAsia="zh-CN"/>
        </w:rPr>
        <w:t>，</w:t>
      </w:r>
      <w:r>
        <w:rPr>
          <w:rFonts w:hint="eastAsia" w:eastAsia="宋体" w:cs="Times New Roman"/>
          <w:sz w:val="28"/>
          <w:szCs w:val="28"/>
          <w:lang w:val="en-US" w:eastAsia="zh-CN"/>
        </w:rPr>
        <w:t>流域</w:t>
      </w:r>
      <w:r>
        <w:rPr>
          <w:rFonts w:hint="eastAsia" w:ascii="Times New Roman" w:hAnsi="Times New Roman" w:eastAsia="宋体" w:cs="Times New Roman"/>
          <w:sz w:val="28"/>
          <w:szCs w:val="28"/>
          <w:lang w:val="en-US" w:eastAsia="zh-CN"/>
        </w:rPr>
        <w:t>平均宽度</w:t>
      </w:r>
      <w:r>
        <w:rPr>
          <w:rFonts w:hint="default" w:ascii="Times New Roman" w:hAnsi="Times New Roman" w:eastAsia="宋体" w:cs="Times New Roman"/>
          <w:sz w:val="28"/>
          <w:szCs w:val="28"/>
          <w:lang w:val="en-US" w:eastAsia="zh-CN"/>
        </w:rPr>
        <w:t>36.09km</w:t>
      </w:r>
      <w:r>
        <w:rPr>
          <w:rFonts w:hint="eastAsia" w:ascii="Times New Roman" w:hAnsi="Times New Roman" w:eastAsia="宋体" w:cs="Times New Roman"/>
          <w:sz w:val="28"/>
          <w:szCs w:val="28"/>
          <w:lang w:val="en-US" w:eastAsia="zh-CN"/>
        </w:rPr>
        <w:t>，河段落差</w:t>
      </w:r>
      <w:r>
        <w:rPr>
          <w:rFonts w:hint="default" w:ascii="Times New Roman" w:hAnsi="Times New Roman" w:eastAsia="宋体" w:cs="Times New Roman"/>
          <w:sz w:val="28"/>
          <w:szCs w:val="28"/>
          <w:lang w:val="en-US" w:eastAsia="zh-CN"/>
        </w:rPr>
        <w:t>1217m</w:t>
      </w:r>
      <w:r>
        <w:rPr>
          <w:rFonts w:hint="eastAsia" w:ascii="Times New Roman" w:hAnsi="Times New Roman" w:eastAsia="宋体" w:cs="Times New Roman"/>
          <w:sz w:val="28"/>
          <w:szCs w:val="28"/>
          <w:lang w:val="en-US" w:eastAsia="zh-CN"/>
        </w:rPr>
        <w:t>，平均纵坡</w:t>
      </w:r>
      <w:r>
        <w:rPr>
          <w:rFonts w:hint="default" w:ascii="Times New Roman" w:hAnsi="Times New Roman" w:eastAsia="宋体" w:cs="Times New Roman"/>
          <w:sz w:val="28"/>
          <w:szCs w:val="28"/>
          <w:lang w:val="en-US" w:eastAsia="zh-CN"/>
        </w:rPr>
        <w:t>0.51‰</w:t>
      </w:r>
      <w:r>
        <w:rPr>
          <w:rFonts w:hint="eastAsia" w:ascii="Times New Roman" w:hAnsi="Times New Roman" w:eastAsia="宋体" w:cs="Times New Roman"/>
          <w:sz w:val="28"/>
          <w:szCs w:val="28"/>
          <w:lang w:val="en-US" w:eastAsia="zh-CN"/>
        </w:rPr>
        <w:t>。卫河干流流经泽州县柳树口镇玛琅村、新庄村、南稍村、黄围村、东南庄村、井洼村至泽州县北坡村（山西省河南省省界），</w:t>
      </w:r>
      <w:r>
        <w:rPr>
          <w:rFonts w:hint="eastAsia" w:eastAsia="宋体" w:cs="Times New Roman"/>
          <w:sz w:val="28"/>
          <w:szCs w:val="28"/>
          <w:lang w:val="en-US" w:eastAsia="zh-CN"/>
        </w:rPr>
        <w:t>境内</w:t>
      </w:r>
      <w:r>
        <w:rPr>
          <w:rFonts w:hint="eastAsia" w:ascii="Times New Roman" w:hAnsi="Times New Roman" w:eastAsia="宋体" w:cs="Times New Roman"/>
          <w:sz w:val="28"/>
          <w:szCs w:val="28"/>
          <w:lang w:val="en-US" w:eastAsia="zh-CN"/>
        </w:rPr>
        <w:t>河道干流长度</w:t>
      </w:r>
      <w:r>
        <w:rPr>
          <w:rFonts w:hint="default" w:ascii="Times New Roman" w:hAnsi="Times New Roman" w:eastAsia="宋体" w:cs="Times New Roman"/>
          <w:sz w:val="28"/>
          <w:szCs w:val="28"/>
          <w:lang w:val="en-US" w:eastAsia="zh-CN"/>
        </w:rPr>
        <w:t>33.925km</w:t>
      </w:r>
      <w:r>
        <w:rPr>
          <w:rFonts w:hint="eastAsia" w:ascii="Times New Roman" w:hAnsi="Times New Roman" w:eastAsia="宋体" w:cs="Times New Roman"/>
          <w:sz w:val="28"/>
          <w:szCs w:val="28"/>
          <w:lang w:val="en-US" w:eastAsia="zh-CN"/>
        </w:rPr>
        <w:t>。</w:t>
      </w:r>
    </w:p>
    <w:p w14:paraId="39EA922B">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rPr>
          <w:rFonts w:hint="eastAsia" w:cs="Times New Roman"/>
          <w:snapToGrid w:val="0"/>
          <w:kern w:val="0"/>
          <w:sz w:val="28"/>
          <w:szCs w:val="28"/>
          <w:lang w:val="en-US" w:eastAsia="zh-CN"/>
        </w:rPr>
      </w:pPr>
      <w:r>
        <w:rPr>
          <w:rFonts w:hint="eastAsia" w:cs="Times New Roman"/>
          <w:snapToGrid w:val="0"/>
          <w:kern w:val="0"/>
          <w:sz w:val="28"/>
          <w:szCs w:val="28"/>
          <w:lang w:val="en-US" w:eastAsia="zh-CN"/>
        </w:rPr>
        <w:t>8.北石店河：北石店河为丹河的一级支流，发源于凤凰山煤矿西北边的碾盘岭。白马寺山、长条岭、龙王山等构成该流域的分水岭，流域内最高峰为海拔1065m的长条岭主峰。相邻流域北部为巴公河流域，西南部是晋城市城区，河流流向自西北流向东南，在晋焦铁路与司徒河交叉口以下一路向东，在管院村西汇入丹河，河流总长14.5km，主河道平均纵坡降5‰，流域总面积56.5km</w:t>
      </w:r>
      <w:r>
        <w:rPr>
          <w:rFonts w:hint="eastAsia" w:cs="Times New Roman"/>
          <w:snapToGrid w:val="0"/>
          <w:kern w:val="0"/>
          <w:sz w:val="28"/>
          <w:szCs w:val="28"/>
          <w:vertAlign w:val="superscript"/>
          <w:lang w:val="en-US" w:eastAsia="zh-CN"/>
        </w:rPr>
        <w:t>2</w:t>
      </w:r>
      <w:r>
        <w:rPr>
          <w:rFonts w:hint="eastAsia" w:cs="Times New Roman"/>
          <w:snapToGrid w:val="0"/>
          <w:kern w:val="0"/>
          <w:sz w:val="28"/>
          <w:szCs w:val="28"/>
          <w:lang w:val="en-US" w:eastAsia="zh-CN"/>
        </w:rPr>
        <w:t>。</w:t>
      </w:r>
    </w:p>
    <w:p w14:paraId="231D3A73">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snapToGrid w:val="0"/>
          <w:kern w:val="0"/>
          <w:sz w:val="28"/>
          <w:szCs w:val="28"/>
          <w:lang w:val="en-US" w:eastAsia="zh-CN" w:bidi="ar-SA"/>
        </w:rPr>
      </w:pPr>
      <w:r>
        <w:rPr>
          <w:rFonts w:hint="eastAsia" w:ascii="Times New Roman" w:hAnsi="Times New Roman" w:eastAsia="宋体" w:cs="Times New Roman"/>
          <w:snapToGrid w:val="0"/>
          <w:kern w:val="0"/>
          <w:sz w:val="28"/>
          <w:szCs w:val="28"/>
          <w:lang w:val="en-US" w:eastAsia="zh-CN" w:bidi="ar-SA"/>
        </w:rPr>
        <w:t>9.巴公河：巴公河发源于高平市西南马村镇金章背村上游，地理位置介于东经</w:t>
      </w:r>
      <w:r>
        <w:rPr>
          <w:rFonts w:hint="default" w:ascii="Times New Roman" w:hAnsi="Times New Roman" w:eastAsia="宋体" w:cs="Times New Roman"/>
          <w:snapToGrid w:val="0"/>
          <w:kern w:val="0"/>
          <w:sz w:val="28"/>
          <w:szCs w:val="28"/>
          <w:lang w:val="en-US" w:eastAsia="zh-CN" w:bidi="ar-SA"/>
        </w:rPr>
        <w:t>112°44′~112°56′</w:t>
      </w:r>
      <w:r>
        <w:rPr>
          <w:rFonts w:hint="eastAsia" w:ascii="Times New Roman" w:hAnsi="Times New Roman" w:eastAsia="宋体" w:cs="Times New Roman"/>
          <w:snapToGrid w:val="0"/>
          <w:kern w:val="0"/>
          <w:sz w:val="28"/>
          <w:szCs w:val="28"/>
          <w:lang w:val="en-US" w:eastAsia="zh-CN" w:bidi="ar-SA"/>
        </w:rPr>
        <w:t>，北纬</w:t>
      </w:r>
      <w:r>
        <w:rPr>
          <w:rFonts w:hint="default" w:ascii="Times New Roman" w:hAnsi="Times New Roman" w:eastAsia="宋体" w:cs="Times New Roman"/>
          <w:snapToGrid w:val="0"/>
          <w:kern w:val="0"/>
          <w:sz w:val="28"/>
          <w:szCs w:val="28"/>
          <w:lang w:val="en-US" w:eastAsia="zh-CN" w:bidi="ar-SA"/>
        </w:rPr>
        <w:t>35°34′~35°43′</w:t>
      </w:r>
      <w:r>
        <w:rPr>
          <w:rFonts w:hint="eastAsia" w:ascii="Times New Roman" w:hAnsi="Times New Roman" w:eastAsia="宋体" w:cs="Times New Roman"/>
          <w:snapToGrid w:val="0"/>
          <w:kern w:val="0"/>
          <w:sz w:val="28"/>
          <w:szCs w:val="28"/>
          <w:lang w:val="en-US" w:eastAsia="zh-CN" w:bidi="ar-SA"/>
        </w:rPr>
        <w:t>之间，流向由西北向东南，依次流经东周、崛山，在巴公镇庙南沟村进入泽州县境内，在李村堡转向南，在巴公村北有支流大阳河汇入后折向东南，在水磨头村北薛庄村南汇入支流东四义河和渠头河，经泊村、高都，最后在南社村流入丹河，流域面积</w:t>
      </w:r>
      <w:r>
        <w:rPr>
          <w:rFonts w:hint="default" w:ascii="Times New Roman" w:hAnsi="Times New Roman" w:eastAsia="宋体" w:cs="Times New Roman"/>
          <w:snapToGrid w:val="0"/>
          <w:kern w:val="0"/>
          <w:sz w:val="28"/>
          <w:szCs w:val="28"/>
          <w:lang w:val="en-US" w:eastAsia="zh-CN" w:bidi="ar-SA"/>
        </w:rPr>
        <w:t>220km</w:t>
      </w:r>
      <w:r>
        <w:rPr>
          <w:rFonts w:hint="default" w:ascii="Times New Roman" w:hAnsi="Times New Roman" w:eastAsia="宋体" w:cs="Times New Roman"/>
          <w:snapToGrid w:val="0"/>
          <w:kern w:val="0"/>
          <w:sz w:val="28"/>
          <w:szCs w:val="28"/>
          <w:vertAlign w:val="superscript"/>
          <w:lang w:val="en-US" w:eastAsia="zh-CN" w:bidi="ar-SA"/>
        </w:rPr>
        <w:t>2</w:t>
      </w:r>
      <w:r>
        <w:rPr>
          <w:rFonts w:hint="eastAsia" w:ascii="Times New Roman" w:hAnsi="Times New Roman" w:eastAsia="宋体" w:cs="Times New Roman"/>
          <w:snapToGrid w:val="0"/>
          <w:kern w:val="0"/>
          <w:sz w:val="28"/>
          <w:szCs w:val="28"/>
          <w:lang w:val="en-US" w:eastAsia="zh-CN" w:bidi="ar-SA"/>
        </w:rPr>
        <w:t>，河道总长</w:t>
      </w:r>
      <w:r>
        <w:rPr>
          <w:rFonts w:hint="default" w:ascii="Times New Roman" w:hAnsi="Times New Roman" w:eastAsia="宋体" w:cs="Times New Roman"/>
          <w:snapToGrid w:val="0"/>
          <w:kern w:val="0"/>
          <w:sz w:val="28"/>
          <w:szCs w:val="28"/>
          <w:lang w:val="en-US" w:eastAsia="zh-CN" w:bidi="ar-SA"/>
        </w:rPr>
        <w:t>28km</w:t>
      </w:r>
      <w:r>
        <w:rPr>
          <w:rFonts w:hint="eastAsia" w:ascii="Times New Roman" w:hAnsi="Times New Roman" w:eastAsia="宋体" w:cs="Times New Roman"/>
          <w:snapToGrid w:val="0"/>
          <w:kern w:val="0"/>
          <w:sz w:val="28"/>
          <w:szCs w:val="28"/>
          <w:lang w:val="en-US" w:eastAsia="zh-CN" w:bidi="ar-SA"/>
        </w:rPr>
        <w:t>，河道平均坡降</w:t>
      </w:r>
      <w:r>
        <w:rPr>
          <w:rFonts w:hint="default" w:ascii="Times New Roman" w:hAnsi="Times New Roman" w:eastAsia="宋体" w:cs="Times New Roman"/>
          <w:snapToGrid w:val="0"/>
          <w:kern w:val="0"/>
          <w:sz w:val="28"/>
          <w:szCs w:val="28"/>
          <w:lang w:val="en-US" w:eastAsia="zh-CN" w:bidi="ar-SA"/>
        </w:rPr>
        <w:t>13‰</w:t>
      </w:r>
      <w:r>
        <w:rPr>
          <w:rFonts w:hint="eastAsia" w:ascii="Times New Roman" w:hAnsi="Times New Roman" w:eastAsia="宋体" w:cs="Times New Roman"/>
          <w:snapToGrid w:val="0"/>
          <w:kern w:val="0"/>
          <w:sz w:val="28"/>
          <w:szCs w:val="28"/>
          <w:lang w:val="en-US" w:eastAsia="zh-CN" w:bidi="ar-SA"/>
        </w:rPr>
        <w:t>。</w:t>
      </w:r>
    </w:p>
    <w:p w14:paraId="4872D2DF">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10.大阳河：</w:t>
      </w:r>
      <w:r>
        <w:rPr>
          <w:rFonts w:hint="default" w:ascii="Times New Roman" w:hAnsi="Times New Roman" w:eastAsia="宋体" w:cs="Times New Roman"/>
          <w:color w:val="000000"/>
          <w:kern w:val="0"/>
          <w:sz w:val="28"/>
          <w:szCs w:val="28"/>
          <w:highlight w:val="none"/>
          <w:lang w:val="en-US" w:eastAsia="zh-CN" w:bidi="ar"/>
        </w:rPr>
        <w:t>大阳河属黄河流域沁河水系，是巴公河一级支流，发源于泽州县大阳镇香山村，由西北流向东南，流经大阳镇区，在大阳镇有支流大南沟河汇入，在尧头村有支流北堆河汇入，在巴公镇的巴公村汇入巴公河。大阳河属典型的山区季节性河流，河道常年干枯，河床较为稳定，河床宽约10~15m，流域面积67.7km</w:t>
      </w:r>
      <w:r>
        <w:rPr>
          <w:rFonts w:hint="default" w:ascii="Times New Roman" w:hAnsi="Times New Roman" w:eastAsia="宋体" w:cs="Times New Roman"/>
          <w:color w:val="000000"/>
          <w:kern w:val="0"/>
          <w:sz w:val="28"/>
          <w:szCs w:val="28"/>
          <w:highlight w:val="none"/>
          <w:vertAlign w:val="superscript"/>
          <w:lang w:val="en-US" w:eastAsia="zh-CN" w:bidi="ar"/>
        </w:rPr>
        <w:t>2</w:t>
      </w:r>
      <w:r>
        <w:rPr>
          <w:rFonts w:hint="default" w:ascii="Times New Roman" w:hAnsi="Times New Roman" w:eastAsia="宋体" w:cs="Times New Roman"/>
          <w:color w:val="000000"/>
          <w:kern w:val="0"/>
          <w:sz w:val="28"/>
          <w:szCs w:val="28"/>
          <w:highlight w:val="none"/>
          <w:lang w:val="en-US" w:eastAsia="zh-CN" w:bidi="ar"/>
        </w:rPr>
        <w:t>，河长15km，流域平均宽度为4.51m，河道平均坡降8.26‰。大阳河流域内上有3座小型水库，其中小（1）型水库有来村水库；小（2）型水库有大阳水库、大南沟水库。</w:t>
      </w:r>
    </w:p>
    <w:p w14:paraId="1E203778">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000000"/>
          <w:kern w:val="0"/>
          <w:sz w:val="28"/>
          <w:szCs w:val="28"/>
          <w:lang w:val="en-US" w:eastAsia="zh-CN" w:bidi="ar"/>
        </w:rPr>
      </w:pPr>
      <w:r>
        <w:rPr>
          <w:rFonts w:hint="default" w:ascii="Times New Roman" w:hAnsi="Times New Roman" w:eastAsia="宋体" w:cs="Times New Roman"/>
          <w:sz w:val="28"/>
          <w:szCs w:val="28"/>
          <w:highlight w:val="none"/>
          <w:lang w:val="en-US" w:eastAsia="zh-CN"/>
        </w:rPr>
        <w:t>11.白涧河：</w:t>
      </w:r>
      <w:r>
        <w:rPr>
          <w:rFonts w:hint="eastAsia" w:ascii="宋体" w:hAnsi="宋体" w:eastAsia="宋体" w:cs="宋体"/>
          <w:color w:val="000000"/>
          <w:kern w:val="0"/>
          <w:sz w:val="28"/>
          <w:szCs w:val="28"/>
          <w:lang w:val="en-US" w:eastAsia="zh-CN" w:bidi="ar"/>
        </w:rPr>
        <w:t>白涧河属黄河流域沁河一级支流，发源于山西省泽州县山河镇时街村，干流由西北向东南依次流经万河村、盘爽村、陈家庄村，在陈家庄村发生转向，由东北向西南依次流经白涧寺、西坡村、白龙庙村，于河南省济源市五龙口镇河头村汇入沁河。白涧河流域面积为</w:t>
      </w:r>
      <w:r>
        <w:rPr>
          <w:rFonts w:hint="default" w:ascii="Times New Roman" w:hAnsi="Times New Roman" w:eastAsia="宋体" w:cs="Times New Roman"/>
          <w:color w:val="000000"/>
          <w:kern w:val="0"/>
          <w:sz w:val="28"/>
          <w:szCs w:val="28"/>
          <w:lang w:val="en-US" w:eastAsia="zh-CN" w:bidi="ar"/>
        </w:rPr>
        <w:t>59km</w:t>
      </w:r>
      <w:r>
        <w:rPr>
          <w:rFonts w:hint="default" w:ascii="Times New Roman" w:hAnsi="Times New Roman" w:eastAsia="宋体" w:cs="Times New Roman"/>
          <w:color w:val="000000"/>
          <w:kern w:val="0"/>
          <w:sz w:val="28"/>
          <w:szCs w:val="28"/>
          <w:vertAlign w:val="superscript"/>
          <w:lang w:val="en-US" w:eastAsia="zh-CN" w:bidi="ar"/>
        </w:rPr>
        <w:t>2</w:t>
      </w:r>
      <w:r>
        <w:rPr>
          <w:rFonts w:hint="eastAsia" w:eastAsia="宋体" w:cs="Times New Roman"/>
          <w:color w:val="000000"/>
          <w:kern w:val="0"/>
          <w:sz w:val="28"/>
          <w:szCs w:val="28"/>
          <w:vertAlign w:val="baseline"/>
          <w:lang w:val="en-US" w:eastAsia="zh-CN" w:bidi="ar"/>
        </w:rPr>
        <w:t>，</w:t>
      </w:r>
      <w:r>
        <w:rPr>
          <w:rFonts w:hint="eastAsia" w:ascii="宋体" w:hAnsi="宋体" w:eastAsia="宋体" w:cs="宋体"/>
          <w:color w:val="000000"/>
          <w:kern w:val="0"/>
          <w:sz w:val="28"/>
          <w:szCs w:val="28"/>
          <w:lang w:val="en-US" w:eastAsia="zh-CN" w:bidi="ar"/>
        </w:rPr>
        <w:t>干流全长</w:t>
      </w:r>
      <w:r>
        <w:rPr>
          <w:rFonts w:hint="default" w:ascii="Times New Roman" w:hAnsi="Times New Roman" w:eastAsia="宋体" w:cs="Times New Roman"/>
          <w:color w:val="000000"/>
          <w:kern w:val="0"/>
          <w:sz w:val="28"/>
          <w:szCs w:val="28"/>
          <w:lang w:val="en-US" w:eastAsia="zh-CN" w:bidi="ar"/>
        </w:rPr>
        <w:t>21km</w:t>
      </w:r>
      <w:r>
        <w:rPr>
          <w:rFonts w:hint="eastAsia" w:ascii="宋体" w:hAnsi="宋体" w:eastAsia="宋体" w:cs="宋体"/>
          <w:color w:val="000000"/>
          <w:kern w:val="0"/>
          <w:sz w:val="28"/>
          <w:szCs w:val="28"/>
          <w:lang w:val="en-US" w:eastAsia="zh-CN" w:bidi="ar"/>
        </w:rPr>
        <w:t>，平均纵坡</w:t>
      </w:r>
      <w:r>
        <w:rPr>
          <w:rFonts w:hint="default" w:ascii="Times New Roman" w:hAnsi="Times New Roman" w:eastAsia="宋体" w:cs="Times New Roman"/>
          <w:color w:val="000000"/>
          <w:kern w:val="0"/>
          <w:sz w:val="28"/>
          <w:szCs w:val="28"/>
          <w:lang w:val="en-US" w:eastAsia="zh-CN" w:bidi="ar"/>
        </w:rPr>
        <w:t>32.59‰</w:t>
      </w:r>
      <w:r>
        <w:rPr>
          <w:rFonts w:hint="eastAsia" w:ascii="宋体" w:hAnsi="宋体" w:eastAsia="宋体" w:cs="宋体"/>
          <w:color w:val="000000"/>
          <w:kern w:val="0"/>
          <w:sz w:val="28"/>
          <w:szCs w:val="28"/>
          <w:lang w:val="en-US" w:eastAsia="zh-CN" w:bidi="ar"/>
        </w:rPr>
        <w:t>。在泽州县境内流域面积为</w:t>
      </w:r>
      <w:r>
        <w:rPr>
          <w:rFonts w:hint="default" w:ascii="Times New Roman" w:hAnsi="Times New Roman" w:eastAsia="宋体" w:cs="Times New Roman"/>
          <w:color w:val="000000"/>
          <w:kern w:val="0"/>
          <w:sz w:val="28"/>
          <w:szCs w:val="28"/>
          <w:lang w:val="en-US" w:eastAsia="zh-CN" w:bidi="ar"/>
        </w:rPr>
        <w:t>26.4km</w:t>
      </w:r>
      <w:r>
        <w:rPr>
          <w:rFonts w:hint="default" w:ascii="Times New Roman" w:hAnsi="Times New Roman" w:eastAsia="宋体" w:cs="Times New Roman"/>
          <w:color w:val="000000"/>
          <w:kern w:val="0"/>
          <w:sz w:val="28"/>
          <w:szCs w:val="28"/>
          <w:vertAlign w:val="superscript"/>
          <w:lang w:val="en-US" w:eastAsia="zh-CN" w:bidi="ar"/>
        </w:rPr>
        <w:t>2</w:t>
      </w:r>
      <w:r>
        <w:rPr>
          <w:rFonts w:hint="eastAsia" w:ascii="宋体" w:hAnsi="宋体" w:eastAsia="宋体" w:cs="宋体"/>
          <w:color w:val="000000"/>
          <w:kern w:val="0"/>
          <w:sz w:val="28"/>
          <w:szCs w:val="28"/>
          <w:lang w:val="en-US" w:eastAsia="zh-CN" w:bidi="ar"/>
        </w:rPr>
        <w:t>，干流长</w:t>
      </w:r>
      <w:r>
        <w:rPr>
          <w:rFonts w:hint="default" w:ascii="Times New Roman" w:hAnsi="Times New Roman" w:eastAsia="宋体" w:cs="Times New Roman"/>
          <w:color w:val="000000"/>
          <w:kern w:val="0"/>
          <w:sz w:val="28"/>
          <w:szCs w:val="28"/>
          <w:lang w:val="en-US" w:eastAsia="zh-CN" w:bidi="ar"/>
        </w:rPr>
        <w:t>10.63km</w:t>
      </w:r>
      <w:r>
        <w:rPr>
          <w:rFonts w:hint="eastAsia" w:ascii="宋体" w:hAnsi="宋体" w:eastAsia="宋体" w:cs="宋体"/>
          <w:color w:val="000000"/>
          <w:kern w:val="0"/>
          <w:sz w:val="28"/>
          <w:szCs w:val="28"/>
          <w:lang w:val="en-US" w:eastAsia="zh-CN" w:bidi="ar"/>
        </w:rPr>
        <w:t>，平均纵坡</w:t>
      </w:r>
      <w:r>
        <w:rPr>
          <w:rFonts w:hint="default" w:ascii="Times New Roman" w:hAnsi="Times New Roman" w:eastAsia="宋体" w:cs="Times New Roman"/>
          <w:color w:val="000000"/>
          <w:kern w:val="0"/>
          <w:sz w:val="28"/>
          <w:szCs w:val="28"/>
          <w:lang w:val="en-US" w:eastAsia="zh-CN" w:bidi="ar"/>
        </w:rPr>
        <w:t>44.5‰</w:t>
      </w:r>
      <w:r>
        <w:rPr>
          <w:rFonts w:hint="eastAsia" w:ascii="宋体" w:hAnsi="宋体" w:eastAsia="宋体" w:cs="宋体"/>
          <w:color w:val="000000"/>
          <w:kern w:val="0"/>
          <w:sz w:val="28"/>
          <w:szCs w:val="28"/>
          <w:lang w:val="en-US" w:eastAsia="zh-CN" w:bidi="ar"/>
        </w:rPr>
        <w:t>。</w:t>
      </w:r>
    </w:p>
    <w:p w14:paraId="48C6B114">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sz w:val="28"/>
          <w:szCs w:val="28"/>
        </w:rPr>
      </w:pPr>
      <w:r>
        <w:rPr>
          <w:rFonts w:hint="default" w:ascii="Times New Roman" w:hAnsi="Times New Roman" w:eastAsia="宋体" w:cs="Times New Roman"/>
          <w:sz w:val="28"/>
          <w:szCs w:val="28"/>
          <w:highlight w:val="none"/>
          <w:lang w:val="en-US" w:eastAsia="zh-CN"/>
        </w:rPr>
        <w:t>1</w:t>
      </w:r>
      <w:r>
        <w:rPr>
          <w:rFonts w:hint="eastAsia"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val="en-US" w:eastAsia="zh-CN"/>
        </w:rPr>
        <w:t>.</w:t>
      </w:r>
      <w:r>
        <w:rPr>
          <w:rFonts w:hint="eastAsia" w:eastAsia="宋体" w:cs="Times New Roman"/>
          <w:sz w:val="28"/>
          <w:szCs w:val="28"/>
          <w:highlight w:val="none"/>
          <w:lang w:val="en-US" w:eastAsia="zh-CN"/>
        </w:rPr>
        <w:t>大箕</w:t>
      </w:r>
      <w:r>
        <w:rPr>
          <w:rFonts w:hint="default" w:ascii="Times New Roman" w:hAnsi="Times New Roman" w:eastAsia="宋体" w:cs="Times New Roman"/>
          <w:sz w:val="28"/>
          <w:szCs w:val="28"/>
          <w:highlight w:val="none"/>
          <w:lang w:val="en-US" w:eastAsia="zh-CN"/>
        </w:rPr>
        <w:t>河：</w:t>
      </w:r>
      <w:r>
        <w:rPr>
          <w:rFonts w:hint="eastAsia" w:ascii="宋体" w:hAnsi="宋体" w:eastAsia="宋体" w:cs="宋体"/>
          <w:color w:val="000000"/>
          <w:kern w:val="0"/>
          <w:sz w:val="28"/>
          <w:szCs w:val="28"/>
          <w:lang w:val="en-US" w:eastAsia="zh-CN" w:bidi="ar"/>
        </w:rPr>
        <w:t>大箕河是白水河的一级支流，属黄河流域沁河水系，地理位置位于东经</w:t>
      </w:r>
      <w:r>
        <w:rPr>
          <w:rFonts w:hint="default" w:ascii="Times New Roman" w:hAnsi="Times New Roman" w:eastAsia="宋体" w:cs="Times New Roman"/>
          <w:color w:val="000000"/>
          <w:kern w:val="0"/>
          <w:sz w:val="28"/>
          <w:szCs w:val="28"/>
          <w:lang w:val="en-US" w:eastAsia="zh-CN" w:bidi="ar"/>
        </w:rPr>
        <w:t>112°45′</w:t>
      </w:r>
      <w:r>
        <w:rPr>
          <w:rFonts w:hint="eastAsia" w:ascii="宋体" w:hAnsi="宋体" w:eastAsia="宋体" w:cs="宋体"/>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112°53′</w:t>
      </w:r>
      <w:r>
        <w:rPr>
          <w:rFonts w:hint="eastAsia" w:ascii="宋体" w:hAnsi="宋体" w:eastAsia="宋体" w:cs="宋体"/>
          <w:color w:val="000000"/>
          <w:kern w:val="0"/>
          <w:sz w:val="28"/>
          <w:szCs w:val="28"/>
          <w:lang w:val="en-US" w:eastAsia="zh-CN" w:bidi="ar"/>
        </w:rPr>
        <w:t>，北纬</w:t>
      </w:r>
      <w:r>
        <w:rPr>
          <w:rFonts w:hint="default" w:ascii="Times New Roman" w:hAnsi="Times New Roman" w:eastAsia="宋体" w:cs="Times New Roman"/>
          <w:color w:val="000000"/>
          <w:kern w:val="0"/>
          <w:sz w:val="28"/>
          <w:szCs w:val="28"/>
          <w:lang w:val="en-US" w:eastAsia="zh-CN" w:bidi="ar"/>
        </w:rPr>
        <w:t>35°22′</w:t>
      </w:r>
      <w:r>
        <w:rPr>
          <w:rFonts w:hint="eastAsia" w:ascii="宋体" w:hAnsi="宋体" w:eastAsia="宋体" w:cs="宋体"/>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35°24′</w:t>
      </w:r>
      <w:r>
        <w:rPr>
          <w:rFonts w:hint="eastAsia" w:ascii="宋体" w:hAnsi="宋体" w:eastAsia="宋体" w:cs="宋体"/>
          <w:color w:val="000000"/>
          <w:kern w:val="0"/>
          <w:sz w:val="28"/>
          <w:szCs w:val="28"/>
          <w:lang w:val="en-US" w:eastAsia="zh-CN" w:bidi="ar"/>
        </w:rPr>
        <w:t>之间，发源于犁川镇杏树村，流经大箕镇秋木洼、大箕、南河底、贾辿、石门村，从大箕镇马韦村汇入白水河。沿途有较大的支流南河底村河、北罗西河、石门村河等支流汇入。大箕河属典型的山区季节性河流，河道常年干枯，河床较为稳定。大箕河流域面积为</w:t>
      </w:r>
      <w:r>
        <w:rPr>
          <w:rFonts w:hint="default" w:ascii="Times New Roman" w:hAnsi="Times New Roman" w:eastAsia="宋体" w:cs="Times New Roman"/>
          <w:color w:val="000000"/>
          <w:kern w:val="0"/>
          <w:sz w:val="28"/>
          <w:szCs w:val="28"/>
          <w:lang w:val="en-US" w:eastAsia="zh-CN" w:bidi="ar"/>
        </w:rPr>
        <w:t>76.13km</w:t>
      </w:r>
      <w:r>
        <w:rPr>
          <w:rFonts w:hint="eastAsia" w:ascii="Times New Roman" w:hAnsi="Times New Roman" w:eastAsia="宋体" w:cs="Times New Roman"/>
          <w:color w:val="000000"/>
          <w:kern w:val="0"/>
          <w:sz w:val="28"/>
          <w:szCs w:val="28"/>
          <w:vertAlign w:val="superscript"/>
          <w:lang w:val="en-US" w:eastAsia="zh-CN" w:bidi="ar"/>
        </w:rPr>
        <w:t>2</w:t>
      </w:r>
      <w:r>
        <w:rPr>
          <w:rFonts w:hint="eastAsia" w:ascii="宋体" w:hAnsi="宋体" w:eastAsia="宋体" w:cs="宋体"/>
          <w:color w:val="000000"/>
          <w:kern w:val="0"/>
          <w:sz w:val="28"/>
          <w:szCs w:val="28"/>
          <w:lang w:val="en-US" w:eastAsia="zh-CN" w:bidi="ar"/>
        </w:rPr>
        <w:t>，干流长度</w:t>
      </w:r>
      <w:r>
        <w:rPr>
          <w:rFonts w:hint="default" w:ascii="Times New Roman" w:hAnsi="Times New Roman" w:eastAsia="宋体" w:cs="Times New Roman"/>
          <w:color w:val="000000"/>
          <w:kern w:val="0"/>
          <w:sz w:val="28"/>
          <w:szCs w:val="28"/>
          <w:lang w:val="en-US" w:eastAsia="zh-CN" w:bidi="ar"/>
        </w:rPr>
        <w:t>18.2km</w:t>
      </w:r>
      <w:r>
        <w:rPr>
          <w:rFonts w:hint="eastAsia" w:ascii="宋体" w:hAnsi="宋体" w:eastAsia="宋体" w:cs="宋体"/>
          <w:color w:val="000000"/>
          <w:kern w:val="0"/>
          <w:sz w:val="28"/>
          <w:szCs w:val="28"/>
          <w:lang w:val="en-US" w:eastAsia="zh-CN" w:bidi="ar"/>
        </w:rPr>
        <w:t>，河道纵比降</w:t>
      </w:r>
      <w:r>
        <w:rPr>
          <w:rFonts w:hint="default" w:ascii="Times New Roman" w:hAnsi="Times New Roman" w:eastAsia="宋体" w:cs="Times New Roman"/>
          <w:color w:val="000000"/>
          <w:kern w:val="0"/>
          <w:sz w:val="28"/>
          <w:szCs w:val="28"/>
          <w:lang w:val="en-US" w:eastAsia="zh-CN" w:bidi="ar"/>
        </w:rPr>
        <w:t>14.44‰</w:t>
      </w:r>
      <w:r>
        <w:rPr>
          <w:rFonts w:hint="eastAsia" w:ascii="宋体" w:hAnsi="宋体" w:eastAsia="宋体" w:cs="宋体"/>
          <w:color w:val="000000"/>
          <w:kern w:val="0"/>
          <w:sz w:val="28"/>
          <w:szCs w:val="28"/>
          <w:lang w:val="en-US" w:eastAsia="zh-CN" w:bidi="ar"/>
        </w:rPr>
        <w:t>。</w:t>
      </w:r>
    </w:p>
    <w:p w14:paraId="5F59E045">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sz w:val="28"/>
          <w:szCs w:val="28"/>
        </w:rPr>
      </w:pPr>
      <w:r>
        <w:rPr>
          <w:rFonts w:hint="default" w:ascii="Times New Roman" w:hAnsi="Times New Roman" w:eastAsia="宋体" w:cs="Times New Roman"/>
          <w:sz w:val="28"/>
          <w:szCs w:val="28"/>
          <w:highlight w:val="none"/>
          <w:lang w:val="en-US" w:eastAsia="zh-CN"/>
        </w:rPr>
        <w:t>13.犁川河：</w:t>
      </w:r>
      <w:r>
        <w:rPr>
          <w:rFonts w:hint="default" w:ascii="Times New Roman" w:hAnsi="Times New Roman" w:eastAsia="宋体" w:cs="Times New Roman"/>
          <w:color w:val="000000"/>
          <w:kern w:val="0"/>
          <w:sz w:val="28"/>
          <w:szCs w:val="28"/>
          <w:lang w:val="en-US" w:eastAsia="zh-CN" w:bidi="ar"/>
        </w:rPr>
        <w:t>犁川河是沁河一级支流，流域涉及泽州犁川镇、南岭镇和山河镇3个乡镇。发源于犁川镇上犁川村，流经犁川镇上犁川、中庄、下犁川、上庄、南岭乡葛万、陈河、李河、黄沙底、宋泉，从南岭乡漏道底村汇入沁河。犁川河河流总长32.8km，流域面积85.2km</w:t>
      </w:r>
      <w:r>
        <w:rPr>
          <w:rFonts w:hint="default" w:ascii="Times New Roman" w:hAnsi="Times New Roman" w:eastAsia="宋体" w:cs="Times New Roman"/>
          <w:color w:val="000000"/>
          <w:kern w:val="0"/>
          <w:sz w:val="28"/>
          <w:szCs w:val="28"/>
          <w:vertAlign w:val="superscript"/>
          <w:lang w:val="en-US" w:eastAsia="zh-CN" w:bidi="ar"/>
        </w:rPr>
        <w:t>2</w:t>
      </w:r>
      <w:r>
        <w:rPr>
          <w:rFonts w:hint="default" w:ascii="Times New Roman" w:hAnsi="Times New Roman" w:eastAsia="宋体" w:cs="Times New Roman"/>
          <w:color w:val="000000"/>
          <w:kern w:val="0"/>
          <w:sz w:val="28"/>
          <w:szCs w:val="28"/>
          <w:lang w:val="en-US" w:eastAsia="zh-CN" w:bidi="ar"/>
        </w:rPr>
        <w:t>，流域内有小（2）型水库彭沟水库。</w:t>
      </w:r>
    </w:p>
    <w:p w14:paraId="7C731BA5">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sz w:val="28"/>
          <w:szCs w:val="28"/>
        </w:rPr>
      </w:pPr>
      <w:r>
        <w:rPr>
          <w:rFonts w:hint="default" w:ascii="Times New Roman" w:hAnsi="Times New Roman" w:eastAsia="宋体" w:cs="Times New Roman"/>
          <w:sz w:val="28"/>
          <w:szCs w:val="28"/>
          <w:highlight w:val="none"/>
          <w:lang w:val="en-US" w:eastAsia="zh-CN"/>
        </w:rPr>
        <w:t>1</w:t>
      </w:r>
      <w:r>
        <w:rPr>
          <w:rFonts w:hint="eastAsia" w:eastAsia="宋体" w:cs="Times New Roman"/>
          <w:sz w:val="28"/>
          <w:szCs w:val="28"/>
          <w:highlight w:val="none"/>
          <w:lang w:val="en-US" w:eastAsia="zh-CN"/>
        </w:rPr>
        <w:t>4</w:t>
      </w:r>
      <w:r>
        <w:rPr>
          <w:rFonts w:hint="default" w:ascii="Times New Roman" w:hAnsi="Times New Roman" w:eastAsia="宋体" w:cs="Times New Roman"/>
          <w:sz w:val="28"/>
          <w:szCs w:val="28"/>
          <w:highlight w:val="none"/>
          <w:lang w:val="en-US" w:eastAsia="zh-CN"/>
        </w:rPr>
        <w:t>.</w:t>
      </w:r>
      <w:r>
        <w:rPr>
          <w:rFonts w:hint="eastAsia" w:eastAsia="宋体" w:cs="Times New Roman"/>
          <w:sz w:val="28"/>
          <w:szCs w:val="28"/>
          <w:highlight w:val="none"/>
          <w:lang w:val="en-US" w:eastAsia="zh-CN"/>
        </w:rPr>
        <w:t>南村</w:t>
      </w:r>
      <w:r>
        <w:rPr>
          <w:rFonts w:hint="default" w:ascii="Times New Roman" w:hAnsi="Times New Roman" w:eastAsia="宋体" w:cs="Times New Roman"/>
          <w:sz w:val="28"/>
          <w:szCs w:val="28"/>
          <w:highlight w:val="none"/>
          <w:lang w:val="en-US" w:eastAsia="zh-CN"/>
        </w:rPr>
        <w:t>河：</w:t>
      </w:r>
      <w:r>
        <w:rPr>
          <w:rFonts w:hint="eastAsia" w:ascii="宋体" w:hAnsi="宋体" w:eastAsia="宋体" w:cs="宋体"/>
          <w:color w:val="000000"/>
          <w:kern w:val="0"/>
          <w:sz w:val="28"/>
          <w:szCs w:val="28"/>
          <w:lang w:val="en-US" w:eastAsia="zh-CN" w:bidi="ar"/>
        </w:rPr>
        <w:t>南村河为丹河二级支流，白水河的一级支流，位于晋城市城区南村镇，为季节性河流，河床较为稳定。南村河发源于南村镇张村，流域分水岭高程大致为</w:t>
      </w:r>
      <w:r>
        <w:rPr>
          <w:rFonts w:hint="default" w:ascii="Times New Roman" w:hAnsi="Times New Roman" w:eastAsia="宋体" w:cs="Times New Roman"/>
          <w:color w:val="000000"/>
          <w:kern w:val="0"/>
          <w:sz w:val="28"/>
          <w:szCs w:val="28"/>
          <w:lang w:val="en-US" w:eastAsia="zh-CN" w:bidi="ar"/>
        </w:rPr>
        <w:t>1100~680m</w:t>
      </w:r>
      <w:r>
        <w:rPr>
          <w:rFonts w:hint="eastAsia" w:ascii="宋体" w:hAnsi="宋体" w:eastAsia="宋体" w:cs="宋体"/>
          <w:color w:val="000000"/>
          <w:kern w:val="0"/>
          <w:sz w:val="28"/>
          <w:szCs w:val="28"/>
          <w:lang w:val="en-US" w:eastAsia="zh-CN" w:bidi="ar"/>
        </w:rPr>
        <w:t>，河流走向由西南流向东北，在峪口村突然缩窄变向，流向东南经余口村、河门口村、尚峪村、峪口村、西峪村、段匠村、浪井村、青杨掌村后转弯向东，经西耿窑村后在寺南底村南汇入白水河。南村河泽州段河道流域面积</w:t>
      </w:r>
      <w:r>
        <w:rPr>
          <w:rFonts w:hint="default" w:ascii="Times New Roman" w:hAnsi="Times New Roman" w:eastAsia="宋体" w:cs="Times New Roman"/>
          <w:color w:val="000000"/>
          <w:kern w:val="0"/>
          <w:sz w:val="28"/>
          <w:szCs w:val="28"/>
          <w:lang w:val="en-US" w:eastAsia="zh-CN" w:bidi="ar"/>
        </w:rPr>
        <w:t>89.7km</w:t>
      </w:r>
      <w:r>
        <w:rPr>
          <w:rFonts w:hint="default" w:ascii="Times New Roman" w:hAnsi="Times New Roman" w:eastAsia="宋体" w:cs="Times New Roman"/>
          <w:color w:val="000000"/>
          <w:kern w:val="0"/>
          <w:sz w:val="28"/>
          <w:szCs w:val="28"/>
          <w:vertAlign w:val="superscript"/>
          <w:lang w:val="en-US" w:eastAsia="zh-CN" w:bidi="ar"/>
        </w:rPr>
        <w:t>2</w:t>
      </w:r>
      <w:r>
        <w:rPr>
          <w:rFonts w:hint="eastAsia" w:ascii="宋体" w:hAnsi="宋体" w:eastAsia="宋体" w:cs="宋体"/>
          <w:color w:val="000000"/>
          <w:kern w:val="0"/>
          <w:sz w:val="28"/>
          <w:szCs w:val="28"/>
          <w:lang w:val="en-US" w:eastAsia="zh-CN" w:bidi="ar"/>
        </w:rPr>
        <w:t>，长</w:t>
      </w:r>
      <w:r>
        <w:rPr>
          <w:rFonts w:hint="default" w:ascii="Times New Roman" w:hAnsi="Times New Roman" w:eastAsia="宋体" w:cs="Times New Roman"/>
          <w:color w:val="000000"/>
          <w:kern w:val="0"/>
          <w:sz w:val="28"/>
          <w:szCs w:val="28"/>
          <w:lang w:val="en-US" w:eastAsia="zh-CN" w:bidi="ar"/>
        </w:rPr>
        <w:t>15.558km</w:t>
      </w:r>
      <w:r>
        <w:rPr>
          <w:rFonts w:hint="eastAsia" w:ascii="宋体" w:hAnsi="宋体" w:eastAsia="宋体" w:cs="宋体"/>
          <w:color w:val="000000"/>
          <w:kern w:val="0"/>
          <w:sz w:val="28"/>
          <w:szCs w:val="28"/>
          <w:lang w:val="en-US" w:eastAsia="zh-CN" w:bidi="ar"/>
        </w:rPr>
        <w:t>，河道平均纵坡</w:t>
      </w:r>
      <w:r>
        <w:rPr>
          <w:rFonts w:hint="default" w:ascii="Times New Roman" w:hAnsi="Times New Roman" w:eastAsia="宋体" w:cs="Times New Roman"/>
          <w:color w:val="000000"/>
          <w:kern w:val="0"/>
          <w:sz w:val="28"/>
          <w:szCs w:val="28"/>
          <w:lang w:val="en-US" w:eastAsia="zh-CN" w:bidi="ar"/>
        </w:rPr>
        <w:t>14</w:t>
      </w:r>
      <w:r>
        <w:rPr>
          <w:rFonts w:hint="eastAsia" w:ascii="宋体" w:hAnsi="宋体" w:eastAsia="宋体" w:cs="宋体"/>
          <w:color w:val="000000"/>
          <w:kern w:val="0"/>
          <w:sz w:val="28"/>
          <w:szCs w:val="28"/>
          <w:lang w:val="en-US" w:eastAsia="zh-CN" w:bidi="ar"/>
        </w:rPr>
        <w:t>‰。</w:t>
      </w:r>
    </w:p>
    <w:p w14:paraId="6186E3AB">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15.仙神河：</w:t>
      </w:r>
      <w:r>
        <w:rPr>
          <w:rFonts w:hint="default" w:ascii="Times New Roman" w:hAnsi="Times New Roman" w:eastAsia="宋体" w:cs="Times New Roman"/>
          <w:color w:val="000000"/>
          <w:kern w:val="0"/>
          <w:sz w:val="28"/>
          <w:szCs w:val="28"/>
          <w:lang w:val="en-US" w:eastAsia="zh-CN" w:bidi="ar"/>
        </w:rPr>
        <w:t>仙神河发源于山西省泽州县山河镇洪水村，是安全河一级支流，属黄河流域伊洛河至大汶河水系，地理位置介于东经112°44′~112°49′，北纬35°09′~35°19′之间，流向由北向南，依次流经白河村、罗河村，在罗河村南部约1.3km处有支流东罗河汇入，继续向南流经省界、大仙掌、仙神庙流入八一水库，于河南省沁阳市西向镇常乐村流入安全河。仙神河流域面积60.9km</w:t>
      </w:r>
      <w:r>
        <w:rPr>
          <w:rFonts w:hint="default" w:ascii="Times New Roman" w:hAnsi="Times New Roman" w:eastAsia="宋体" w:cs="Times New Roman"/>
          <w:color w:val="000000"/>
          <w:kern w:val="0"/>
          <w:sz w:val="28"/>
          <w:szCs w:val="28"/>
          <w:vertAlign w:val="superscript"/>
          <w:lang w:val="en-US" w:eastAsia="zh-CN" w:bidi="ar"/>
        </w:rPr>
        <w:t>2</w:t>
      </w:r>
      <w:r>
        <w:rPr>
          <w:rFonts w:hint="default" w:ascii="Times New Roman" w:hAnsi="Times New Roman" w:eastAsia="宋体" w:cs="Times New Roman"/>
          <w:color w:val="000000"/>
          <w:kern w:val="0"/>
          <w:sz w:val="28"/>
          <w:szCs w:val="28"/>
          <w:lang w:val="en-US" w:eastAsia="zh-CN" w:bidi="ar"/>
        </w:rPr>
        <w:t>，干流长度32km，河道比降22.08‰。泽州县境内仙神河流域面积40.6km</w:t>
      </w:r>
      <w:r>
        <w:rPr>
          <w:rFonts w:hint="default" w:ascii="Times New Roman" w:hAnsi="Times New Roman" w:eastAsia="宋体" w:cs="Times New Roman"/>
          <w:color w:val="000000"/>
          <w:kern w:val="0"/>
          <w:sz w:val="28"/>
          <w:szCs w:val="28"/>
          <w:vertAlign w:val="superscript"/>
          <w:lang w:val="en-US" w:eastAsia="zh-CN" w:bidi="ar"/>
        </w:rPr>
        <w:t>2</w:t>
      </w:r>
      <w:r>
        <w:rPr>
          <w:rFonts w:hint="default" w:ascii="Times New Roman" w:hAnsi="Times New Roman" w:eastAsia="宋体" w:cs="Times New Roman"/>
          <w:color w:val="000000"/>
          <w:kern w:val="0"/>
          <w:sz w:val="28"/>
          <w:szCs w:val="28"/>
          <w:lang w:val="en-US" w:eastAsia="zh-CN" w:bidi="ar"/>
        </w:rPr>
        <w:t>，河道长20km，河道平均坡降35.4‰。</w:t>
      </w:r>
    </w:p>
    <w:p w14:paraId="108CE87B">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eastAsia="宋体"/>
          <w:highlight w:val="none"/>
          <w:lang w:val="en-US" w:eastAsia="zh-CN"/>
        </w:rPr>
      </w:pPr>
      <w:r>
        <w:rPr>
          <w:rFonts w:hint="eastAsia"/>
          <w:lang w:val="en-US" w:eastAsia="zh-CN"/>
        </w:rPr>
        <w:t>16.逍遥石河：逍遥石河属黄河流域沁河水系，发源于海拔约1000m左右的天水岭一带，自西北向东南依次流经犁川镇横道头村、山河镇的下洼村、柳树街、晋庙铺镇的张虎街、大山河村、窑掌村、小口村等7个村庄，最终在泽州县之南东洞水村东南出境。境内逍遥石河流域面积</w:t>
      </w:r>
      <w:r>
        <w:rPr>
          <w:rFonts w:hint="eastAsia"/>
          <w:highlight w:val="none"/>
          <w:lang w:val="en-US" w:eastAsia="zh-CN"/>
        </w:rPr>
        <w:t>74.9km</w:t>
      </w:r>
      <w:r>
        <w:rPr>
          <w:rFonts w:hint="eastAsia"/>
          <w:highlight w:val="none"/>
          <w:vertAlign w:val="superscript"/>
          <w:lang w:val="en-US" w:eastAsia="zh-CN"/>
        </w:rPr>
        <w:t>2</w:t>
      </w:r>
      <w:r>
        <w:rPr>
          <w:rFonts w:hint="eastAsia"/>
          <w:highlight w:val="none"/>
          <w:lang w:val="en-US" w:eastAsia="zh-CN"/>
        </w:rPr>
        <w:t>，干流长度26.26km，平均纵坡23‰。</w:t>
      </w:r>
    </w:p>
    <w:p w14:paraId="74EA277A">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17.冶底河：</w:t>
      </w:r>
      <w:r>
        <w:rPr>
          <w:rFonts w:hint="default" w:ascii="Times New Roman" w:hAnsi="Times New Roman" w:eastAsia="宋体" w:cs="Times New Roman"/>
          <w:color w:val="000000"/>
          <w:kern w:val="0"/>
          <w:sz w:val="28"/>
          <w:szCs w:val="28"/>
          <w:highlight w:val="none"/>
          <w:lang w:val="en-US" w:eastAsia="zh-CN" w:bidi="ar"/>
        </w:rPr>
        <w:t>冶底河位于泽州县西南方向，是沁河的一级支流，又名涧河，发源于泽州县南村镇环秀村，流经南村镇冶底、下河、沟东，</w:t>
      </w:r>
      <w:r>
        <w:rPr>
          <w:rFonts w:hint="eastAsia" w:eastAsia="宋体" w:cs="Times New Roman"/>
          <w:color w:val="000000"/>
          <w:kern w:val="0"/>
          <w:sz w:val="28"/>
          <w:szCs w:val="28"/>
          <w:highlight w:val="none"/>
          <w:lang w:val="en-US" w:eastAsia="zh-CN" w:bidi="ar"/>
        </w:rPr>
        <w:t>南岭镇</w:t>
      </w:r>
      <w:r>
        <w:rPr>
          <w:rFonts w:hint="default" w:ascii="Times New Roman" w:hAnsi="Times New Roman" w:eastAsia="宋体" w:cs="Times New Roman"/>
          <w:color w:val="000000"/>
          <w:kern w:val="0"/>
          <w:sz w:val="28"/>
          <w:szCs w:val="28"/>
          <w:highlight w:val="none"/>
          <w:lang w:val="en-US" w:eastAsia="zh-CN" w:bidi="ar"/>
        </w:rPr>
        <w:t>柿漏底</w:t>
      </w:r>
      <w:r>
        <w:rPr>
          <w:rFonts w:hint="eastAsia" w:eastAsia="宋体" w:cs="Times New Roman"/>
          <w:color w:val="000000"/>
          <w:kern w:val="0"/>
          <w:sz w:val="28"/>
          <w:szCs w:val="28"/>
          <w:highlight w:val="none"/>
          <w:lang w:val="en-US" w:eastAsia="zh-CN" w:bidi="ar"/>
        </w:rPr>
        <w:t>、</w:t>
      </w:r>
      <w:r>
        <w:rPr>
          <w:rFonts w:hint="default" w:ascii="Times New Roman" w:hAnsi="Times New Roman" w:eastAsia="宋体" w:cs="Times New Roman"/>
          <w:color w:val="000000"/>
          <w:kern w:val="0"/>
          <w:sz w:val="28"/>
          <w:szCs w:val="28"/>
          <w:highlight w:val="none"/>
          <w:lang w:val="en-US" w:eastAsia="zh-CN" w:bidi="ar"/>
        </w:rPr>
        <w:t>曹河、段河等村庄</w:t>
      </w:r>
      <w:r>
        <w:rPr>
          <w:rFonts w:hint="eastAsia" w:ascii="Times New Roman" w:hAnsi="Times New Roman" w:eastAsia="宋体" w:cs="Times New Roman"/>
          <w:color w:val="000000"/>
          <w:kern w:val="0"/>
          <w:sz w:val="28"/>
          <w:szCs w:val="28"/>
          <w:highlight w:val="none"/>
          <w:lang w:val="en-US" w:eastAsia="zh-CN" w:bidi="ar"/>
        </w:rPr>
        <w:t>，</w:t>
      </w:r>
      <w:r>
        <w:rPr>
          <w:rFonts w:hint="default" w:ascii="Times New Roman" w:hAnsi="Times New Roman" w:eastAsia="宋体" w:cs="Times New Roman"/>
          <w:color w:val="000000"/>
          <w:kern w:val="0"/>
          <w:sz w:val="28"/>
          <w:szCs w:val="28"/>
          <w:highlight w:val="none"/>
          <w:lang w:val="en-US" w:eastAsia="zh-CN" w:bidi="ar"/>
        </w:rPr>
        <w:t>于土岭村附近汇入沁河。冶底河属典型的山区季节性河流，河道常年干枯，河长28km。流域面积74.6km</w:t>
      </w:r>
      <w:r>
        <w:rPr>
          <w:rFonts w:hint="default" w:ascii="Times New Roman" w:hAnsi="Times New Roman" w:eastAsia="宋体" w:cs="Times New Roman"/>
          <w:color w:val="000000"/>
          <w:kern w:val="0"/>
          <w:sz w:val="28"/>
          <w:szCs w:val="28"/>
          <w:highlight w:val="none"/>
          <w:vertAlign w:val="superscript"/>
          <w:lang w:val="en-US" w:eastAsia="zh-CN" w:bidi="ar"/>
        </w:rPr>
        <w:t>2</w:t>
      </w:r>
      <w:r>
        <w:rPr>
          <w:rFonts w:hint="default" w:ascii="Times New Roman" w:hAnsi="Times New Roman" w:eastAsia="宋体" w:cs="Times New Roman"/>
          <w:color w:val="000000"/>
          <w:kern w:val="0"/>
          <w:sz w:val="28"/>
          <w:szCs w:val="28"/>
          <w:highlight w:val="none"/>
          <w:lang w:val="en-US" w:eastAsia="zh-CN" w:bidi="ar"/>
        </w:rPr>
        <w:t>。</w:t>
      </w:r>
    </w:p>
    <w:p w14:paraId="1BDCC155">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000000"/>
          <w:kern w:val="0"/>
          <w:sz w:val="28"/>
          <w:szCs w:val="28"/>
          <w:highlight w:val="none"/>
          <w:lang w:val="en-US" w:eastAsia="zh-CN" w:bidi="ar"/>
        </w:rPr>
      </w:pPr>
      <w:r>
        <w:rPr>
          <w:rFonts w:hint="default" w:ascii="Times New Roman" w:hAnsi="Times New Roman" w:eastAsia="宋体" w:cs="Times New Roman"/>
          <w:sz w:val="28"/>
          <w:szCs w:val="28"/>
          <w:highlight w:val="none"/>
          <w:lang w:val="en-US" w:eastAsia="zh-CN"/>
        </w:rPr>
        <w:t>18.郑村河：</w:t>
      </w:r>
      <w:r>
        <w:rPr>
          <w:rFonts w:hint="default" w:ascii="Times New Roman" w:hAnsi="Times New Roman" w:eastAsia="宋体" w:cs="Times New Roman"/>
          <w:color w:val="000000"/>
          <w:kern w:val="0"/>
          <w:sz w:val="28"/>
          <w:szCs w:val="28"/>
          <w:highlight w:val="none"/>
          <w:lang w:val="en-US" w:eastAsia="zh-CN" w:bidi="ar"/>
        </w:rPr>
        <w:t>郑村河也叫侯村河，地跨泽州、沁水两县，属黄河流域沁河水系，为沁河的一级支流，发源于晋城市泽州县下村镇庵楼村马头山脚下，流经后河、轩底、许村、肖庄、夏荷、侯村等，至嘉峰镇武安南500m处汇入沁河。郑村河流域面积为116km</w:t>
      </w:r>
      <w:r>
        <w:rPr>
          <w:rFonts w:hint="default" w:ascii="Times New Roman" w:hAnsi="Times New Roman" w:eastAsia="宋体" w:cs="Times New Roman"/>
          <w:color w:val="000000"/>
          <w:kern w:val="0"/>
          <w:sz w:val="28"/>
          <w:szCs w:val="28"/>
          <w:highlight w:val="none"/>
          <w:vertAlign w:val="superscript"/>
          <w:lang w:val="en-US" w:eastAsia="zh-CN" w:bidi="ar"/>
        </w:rPr>
        <w:t>2</w:t>
      </w:r>
      <w:r>
        <w:rPr>
          <w:rFonts w:hint="default" w:ascii="Times New Roman" w:hAnsi="Times New Roman" w:eastAsia="宋体" w:cs="Times New Roman"/>
          <w:color w:val="000000"/>
          <w:kern w:val="0"/>
          <w:sz w:val="28"/>
          <w:szCs w:val="28"/>
          <w:highlight w:val="none"/>
          <w:lang w:val="en-US" w:eastAsia="zh-CN" w:bidi="ar"/>
        </w:rPr>
        <w:t>，干流全长21km，平均纵坡16.65‰。泽州县境郑村河内流域面积16.52km</w:t>
      </w:r>
      <w:r>
        <w:rPr>
          <w:rFonts w:hint="default" w:ascii="Times New Roman" w:hAnsi="Times New Roman" w:eastAsia="宋体" w:cs="Times New Roman"/>
          <w:color w:val="000000"/>
          <w:kern w:val="0"/>
          <w:sz w:val="28"/>
          <w:szCs w:val="28"/>
          <w:highlight w:val="none"/>
          <w:vertAlign w:val="superscript"/>
          <w:lang w:val="en-US" w:eastAsia="zh-CN" w:bidi="ar"/>
        </w:rPr>
        <w:t>2</w:t>
      </w:r>
      <w:r>
        <w:rPr>
          <w:rFonts w:hint="default" w:ascii="Times New Roman" w:hAnsi="Times New Roman" w:eastAsia="宋体" w:cs="Times New Roman"/>
          <w:color w:val="000000"/>
          <w:kern w:val="0"/>
          <w:sz w:val="28"/>
          <w:szCs w:val="28"/>
          <w:highlight w:val="none"/>
          <w:lang w:val="en-US" w:eastAsia="zh-CN" w:bidi="ar"/>
        </w:rPr>
        <w:t>，干流长5.93km，平均纵坡29.3‰。</w:t>
      </w:r>
    </w:p>
    <w:p w14:paraId="5828DBAF">
      <w:pPr>
        <w:pStyle w:val="2"/>
        <w:ind w:left="0" w:leftChars="0" w:firstLine="0" w:firstLineChars="0"/>
        <w:rPr>
          <w:rFonts w:hint="default"/>
          <w:lang w:val="en-US" w:eastAsia="zh-CN"/>
        </w:rPr>
      </w:pPr>
    </w:p>
    <w:p w14:paraId="33FF0F63">
      <w:pPr>
        <w:pStyle w:val="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eastAsia="宋体"/>
          <w:lang w:eastAsia="zh-CN"/>
        </w:rPr>
      </w:pPr>
      <w:r>
        <w:rPr>
          <w:rFonts w:hint="eastAsia" w:eastAsia="宋体"/>
          <w:lang w:eastAsia="zh-CN"/>
        </w:rPr>
        <w:drawing>
          <wp:inline distT="0" distB="0" distL="114300" distR="114300">
            <wp:extent cx="5528945" cy="4492625"/>
            <wp:effectExtent l="0" t="0" r="14605" b="3175"/>
            <wp:docPr id="4" name="图片 4" descr="57045eb5acb77314ca33a6ab0a16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7045eb5acb77314ca33a6ab0a162a3"/>
                    <pic:cNvPicPr>
                      <a:picLocks noChangeAspect="1"/>
                    </pic:cNvPicPr>
                  </pic:nvPicPr>
                  <pic:blipFill>
                    <a:blip r:embed="rId24"/>
                    <a:stretch>
                      <a:fillRect/>
                    </a:stretch>
                  </pic:blipFill>
                  <pic:spPr>
                    <a:xfrm>
                      <a:off x="0" y="0"/>
                      <a:ext cx="5528945" cy="4492625"/>
                    </a:xfrm>
                    <a:prstGeom prst="rect">
                      <a:avLst/>
                    </a:prstGeom>
                  </pic:spPr>
                </pic:pic>
              </a:graphicData>
            </a:graphic>
          </wp:inline>
        </w:drawing>
      </w:r>
    </w:p>
    <w:p w14:paraId="5326AC1B">
      <w:pPr>
        <w:pStyle w:val="60"/>
        <w:keepNext w:val="0"/>
        <w:keepLines w:val="0"/>
        <w:pageBreakBefore w:val="0"/>
        <w:widowControl w:val="0"/>
        <w:kinsoku/>
        <w:wordWrap/>
        <w:overflowPunct/>
        <w:topLinePunct w:val="0"/>
        <w:autoSpaceDE/>
        <w:autoSpaceDN/>
        <w:bidi w:val="0"/>
        <w:adjustRightInd/>
        <w:snapToGrid w:val="0"/>
        <w:spacing w:line="360" w:lineRule="auto"/>
        <w:ind w:left="3360" w:leftChars="0" w:hanging="3360" w:hangingChars="1200"/>
        <w:jc w:val="center"/>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t>图1</w:t>
      </w:r>
      <w:r>
        <w:rPr>
          <w:rFonts w:hint="default" w:ascii="Times New Roman" w:hAnsi="Times New Roman" w:cs="Times New Roman"/>
          <w:kern w:val="0"/>
          <w:sz w:val="28"/>
          <w:szCs w:val="28"/>
          <w:lang w:val="en-US" w:eastAsia="zh-CN"/>
        </w:rPr>
        <w:t>.1</w:t>
      </w:r>
      <w:r>
        <w:rPr>
          <w:rFonts w:hint="default" w:ascii="Times New Roman" w:hAnsi="Times New Roman" w:cs="Times New Roman"/>
          <w:kern w:val="0"/>
          <w:sz w:val="28"/>
          <w:szCs w:val="28"/>
        </w:rPr>
        <w:t>-</w:t>
      </w:r>
      <w:r>
        <w:rPr>
          <w:rFonts w:hint="eastAsia" w:ascii="Times New Roman" w:hAnsi="Times New Roman" w:cs="Times New Roman"/>
          <w:kern w:val="0"/>
          <w:sz w:val="28"/>
          <w:szCs w:val="28"/>
          <w:lang w:val="en-US" w:eastAsia="zh-CN"/>
        </w:rPr>
        <w:t>3泽州</w:t>
      </w:r>
      <w:r>
        <w:rPr>
          <w:rFonts w:hint="default" w:ascii="Times New Roman" w:hAnsi="Times New Roman" w:cs="Times New Roman"/>
          <w:kern w:val="0"/>
          <w:sz w:val="28"/>
          <w:szCs w:val="28"/>
        </w:rPr>
        <w:t>县</w:t>
      </w:r>
      <w:r>
        <w:rPr>
          <w:rFonts w:hint="default" w:ascii="Times New Roman" w:hAnsi="Times New Roman" w:cs="Times New Roman"/>
          <w:kern w:val="0"/>
          <w:sz w:val="28"/>
          <w:szCs w:val="28"/>
          <w:lang w:eastAsia="zh-CN"/>
        </w:rPr>
        <w:t>水系</w:t>
      </w:r>
      <w:r>
        <w:rPr>
          <w:rFonts w:hint="default" w:ascii="Times New Roman" w:hAnsi="Times New Roman" w:cs="Times New Roman"/>
          <w:kern w:val="0"/>
          <w:sz w:val="28"/>
          <w:szCs w:val="28"/>
        </w:rPr>
        <w:t>图</w:t>
      </w:r>
    </w:p>
    <w:p w14:paraId="0D28DF50">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bookmarkStart w:id="6" w:name="_Toc36060024"/>
      <w:r>
        <w:rPr>
          <w:rFonts w:hint="eastAsia" w:ascii="Times New Roman" w:hAnsi="Times New Roman" w:eastAsia="宋体"/>
          <w:lang w:val="en-US" w:eastAsia="zh-CN"/>
        </w:rPr>
        <w:t>1.1.5水资源及其演变趋势</w:t>
      </w:r>
      <w:bookmarkEnd w:id="6"/>
    </w:p>
    <w:p w14:paraId="7041BDE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kern w:val="0"/>
          <w:sz w:val="28"/>
          <w:szCs w:val="28"/>
          <w:highlight w:val="none"/>
          <w:lang w:val="en-US" w:eastAsia="zh-CN"/>
        </w:rPr>
      </w:pPr>
      <w:r>
        <w:rPr>
          <w:rFonts w:hint="eastAsia" w:eastAsia="宋体"/>
          <w:kern w:val="0"/>
          <w:sz w:val="28"/>
          <w:szCs w:val="28"/>
          <w:highlight w:val="none"/>
          <w:lang w:val="en-US" w:eastAsia="zh-CN"/>
        </w:rPr>
        <w:t>1.水资源概况</w:t>
      </w:r>
    </w:p>
    <w:p w14:paraId="5917DFA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根据《2021年晋城市水资源公报》，全县水资源总量为8.85亿m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，其中河川径流量为8.00亿m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，地下水资源总量为3.04亿m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，重复水资源量为2.19亿m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。水资源分布不均且较难开发，其特点是：</w:t>
      </w:r>
    </w:p>
    <w:p w14:paraId="4714A29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（1）漏水地层多，致使全县地表洪水少，仅占全县水资源量的7.8%，而地下水占了全县水资源量的20.89%。</w:t>
      </w:r>
    </w:p>
    <w:p w14:paraId="1D9C4C8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（2）水资源分布与工农业生产的布局不协调，南部山区的水资源相对丰富，但工农业比较集中在水资源相对比较贫乏的中北部和丹河上游。</w:t>
      </w:r>
    </w:p>
    <w:p w14:paraId="7510F33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（3）全县降雨年际变化大，年内又分布不均，丰水年和干旱年往往连续发生，这就要求提高蓄水工程的设计标准，致使蓄水工程造价高，成本大。</w:t>
      </w:r>
    </w:p>
    <w:p w14:paraId="707F29B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（4）地下水资源的60%是埋藏于地面400米以下的深水层，打井费用高，提水成本大。</w:t>
      </w:r>
    </w:p>
    <w:p w14:paraId="6DD9116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（5）流量在0.1m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/秒以上的泉水大多分布在东南山区，远离城市和工农业密集区，开发利用困难。</w:t>
      </w:r>
    </w:p>
    <w:p w14:paraId="3DE4F6A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eastAsia="zh-CN"/>
        </w:rPr>
      </w:pPr>
      <w:r>
        <w:rPr>
          <w:rFonts w:hint="eastAsia" w:eastAsia="宋体"/>
          <w:kern w:val="0"/>
          <w:sz w:val="28"/>
          <w:szCs w:val="28"/>
          <w:highlight w:val="none"/>
          <w:lang w:val="en-US" w:eastAsia="zh-CN"/>
        </w:rPr>
        <w:t>2.</w:t>
      </w:r>
      <w:r>
        <w:rPr>
          <w:rFonts w:hint="eastAsia" w:eastAsia="宋体"/>
          <w:kern w:val="0"/>
          <w:sz w:val="28"/>
          <w:szCs w:val="28"/>
          <w:highlight w:val="none"/>
          <w:lang w:eastAsia="zh-CN"/>
        </w:rPr>
        <w:t>水资源变化趋势分析</w:t>
      </w:r>
    </w:p>
    <w:p w14:paraId="33E43B4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kern w:val="0"/>
          <w:sz w:val="28"/>
          <w:szCs w:val="28"/>
          <w:highlight w:val="none"/>
          <w:lang w:val="en-US"/>
        </w:rPr>
      </w:pPr>
      <w:r>
        <w:rPr>
          <w:rFonts w:eastAsia="宋体"/>
          <w:kern w:val="0"/>
          <w:sz w:val="28"/>
          <w:szCs w:val="28"/>
          <w:highlight w:val="none"/>
        </w:rPr>
        <w:t>根据</w:t>
      </w:r>
      <w:r>
        <w:rPr>
          <w:rFonts w:hint="eastAsia" w:eastAsia="宋体"/>
          <w:kern w:val="0"/>
          <w:sz w:val="28"/>
          <w:szCs w:val="28"/>
          <w:highlight w:val="none"/>
          <w:lang w:eastAsia="zh-CN"/>
        </w:rPr>
        <w:t>《</w:t>
      </w:r>
      <w:r>
        <w:rPr>
          <w:rFonts w:hint="eastAsia" w:eastAsia="宋体"/>
          <w:kern w:val="0"/>
          <w:sz w:val="28"/>
          <w:szCs w:val="28"/>
          <w:highlight w:val="none"/>
          <w:lang w:val="en-US" w:eastAsia="zh-CN"/>
        </w:rPr>
        <w:t>晋城市水资源评价</w:t>
      </w:r>
      <w:r>
        <w:rPr>
          <w:rFonts w:hint="eastAsia" w:eastAsia="宋体"/>
          <w:kern w:val="0"/>
          <w:sz w:val="28"/>
          <w:szCs w:val="28"/>
          <w:highlight w:val="none"/>
          <w:lang w:eastAsia="zh-CN"/>
        </w:rPr>
        <w:t>》（</w:t>
      </w:r>
      <w:r>
        <w:rPr>
          <w:rFonts w:hint="eastAsia" w:eastAsia="宋体"/>
          <w:kern w:val="0"/>
          <w:sz w:val="28"/>
          <w:szCs w:val="28"/>
          <w:highlight w:val="none"/>
          <w:lang w:val="en-US" w:eastAsia="zh-CN"/>
        </w:rPr>
        <w:t>2008年</w:t>
      </w:r>
      <w:r>
        <w:rPr>
          <w:rFonts w:hint="eastAsia" w:eastAsia="宋体"/>
          <w:kern w:val="0"/>
          <w:sz w:val="28"/>
          <w:szCs w:val="28"/>
          <w:highlight w:val="none"/>
          <w:lang w:eastAsia="zh-CN"/>
        </w:rPr>
        <w:t>）、</w:t>
      </w:r>
      <w:r>
        <w:rPr>
          <w:rFonts w:eastAsia="宋体"/>
          <w:kern w:val="0"/>
          <w:sz w:val="28"/>
          <w:szCs w:val="28"/>
          <w:highlight w:val="none"/>
        </w:rPr>
        <w:t>《山西省第三次水资源调查评价》</w:t>
      </w:r>
      <w:r>
        <w:rPr>
          <w:rFonts w:hint="eastAsia" w:eastAsia="宋体"/>
          <w:kern w:val="0"/>
          <w:sz w:val="28"/>
          <w:szCs w:val="28"/>
          <w:highlight w:val="none"/>
          <w:lang w:eastAsia="zh-CN"/>
        </w:rPr>
        <w:t>（阶段性成果）</w:t>
      </w:r>
      <w:r>
        <w:rPr>
          <w:rFonts w:eastAsia="宋体"/>
          <w:kern w:val="0"/>
          <w:sz w:val="28"/>
          <w:szCs w:val="28"/>
          <w:highlight w:val="none"/>
        </w:rPr>
        <w:t>，</w:t>
      </w:r>
      <w:r>
        <w:rPr>
          <w:rFonts w:hint="eastAsia" w:eastAsia="宋体"/>
          <w:kern w:val="0"/>
          <w:sz w:val="28"/>
          <w:szCs w:val="28"/>
          <w:highlight w:val="none"/>
          <w:lang w:val="en-US" w:eastAsia="zh-CN"/>
        </w:rPr>
        <w:t>1956-2000年系列泽州县水资源总量为32798万m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/a，1980-2000年系列泽州县水资源总量为29947万m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/a，2017-2020年水资源总量平均值为27105</w:t>
      </w:r>
      <w:r>
        <w:rPr>
          <w:rFonts w:hint="eastAsia" w:eastAsia="宋体"/>
          <w:kern w:val="0"/>
          <w:sz w:val="28"/>
          <w:szCs w:val="28"/>
          <w:highlight w:val="none"/>
          <w:lang w:eastAsia="zh-CN"/>
        </w:rPr>
        <w:t>万</w:t>
      </w:r>
      <w:r>
        <w:rPr>
          <w:rFonts w:eastAsia="宋体"/>
          <w:kern w:val="0"/>
          <w:sz w:val="28"/>
          <w:szCs w:val="28"/>
          <w:highlight w:val="none"/>
        </w:rPr>
        <w:t>m</w:t>
      </w:r>
      <w:r>
        <w:rPr>
          <w:rFonts w:eastAsia="宋体"/>
          <w:kern w:val="0"/>
          <w:sz w:val="28"/>
          <w:szCs w:val="28"/>
          <w:highlight w:val="none"/>
          <w:vertAlign w:val="superscript"/>
        </w:rPr>
        <w:t>3</w:t>
      </w:r>
      <w:r>
        <w:rPr>
          <w:rFonts w:hint="eastAsia" w:eastAsia="宋体"/>
          <w:kern w:val="0"/>
          <w:sz w:val="28"/>
          <w:szCs w:val="28"/>
          <w:highlight w:val="none"/>
          <w:lang w:val="en-US" w:eastAsia="zh-CN"/>
        </w:rPr>
        <w:t>/a，经对比分析，泽州县水资源总量总体呈现下降趋势。</w:t>
      </w:r>
    </w:p>
    <w:p w14:paraId="789E05D3">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r>
        <w:rPr>
          <w:rFonts w:hint="eastAsia" w:ascii="Times New Roman" w:hAnsi="Times New Roman" w:eastAsia="宋体"/>
          <w:lang w:val="en-US" w:eastAsia="zh-CN"/>
        </w:rPr>
        <w:t>1.1.6水生态</w:t>
      </w:r>
    </w:p>
    <w:p w14:paraId="47DBA3C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bookmarkStart w:id="7" w:name="_Toc36060026"/>
      <w:r>
        <w:rPr>
          <w:rFonts w:hint="default" w:eastAsia="宋体"/>
          <w:sz w:val="28"/>
          <w:szCs w:val="28"/>
          <w:lang w:val="en-US" w:eastAsia="zh-CN"/>
        </w:rPr>
        <w:t>泽州县生态保护系统服务功能显著，生态保护极重要区面积为888.23</w:t>
      </w:r>
      <w:r>
        <w:rPr>
          <w:rFonts w:hint="eastAsia" w:eastAsia="宋体"/>
          <w:sz w:val="28"/>
          <w:szCs w:val="28"/>
          <w:lang w:val="en-US" w:eastAsia="zh-CN"/>
        </w:rPr>
        <w:t>km</w:t>
      </w:r>
      <w:r>
        <w:rPr>
          <w:rFonts w:hint="eastAsia" w:eastAsia="宋体"/>
          <w:sz w:val="28"/>
          <w:szCs w:val="28"/>
          <w:vertAlign w:val="superscript"/>
          <w:lang w:val="en-US" w:eastAsia="zh-CN"/>
        </w:rPr>
        <w:t>2</w:t>
      </w:r>
      <w:r>
        <w:rPr>
          <w:rFonts w:hint="default" w:eastAsia="宋体"/>
          <w:sz w:val="28"/>
          <w:szCs w:val="28"/>
          <w:lang w:val="en-US" w:eastAsia="zh-CN"/>
        </w:rPr>
        <w:t>，占全县国土面积的43.88%，主要分布在县域南部和西北部，涉及柳树口镇、山河镇、晋庙铺镇、大箕镇、金村镇、南岭镇和下村镇等建制镇。其他区域为生态保护重要区，面积为1136.19</w:t>
      </w:r>
      <w:r>
        <w:rPr>
          <w:rFonts w:hint="eastAsia" w:eastAsia="宋体"/>
          <w:sz w:val="28"/>
          <w:szCs w:val="28"/>
          <w:lang w:val="en-US" w:eastAsia="zh-CN"/>
        </w:rPr>
        <w:t>km</w:t>
      </w:r>
      <w:r>
        <w:rPr>
          <w:rFonts w:hint="eastAsia" w:eastAsia="宋体"/>
          <w:sz w:val="28"/>
          <w:szCs w:val="28"/>
          <w:vertAlign w:val="superscript"/>
          <w:lang w:val="en-US" w:eastAsia="zh-CN"/>
        </w:rPr>
        <w:t>2</w:t>
      </w:r>
      <w:r>
        <w:rPr>
          <w:rFonts w:hint="default" w:eastAsia="宋体"/>
          <w:sz w:val="28"/>
          <w:szCs w:val="28"/>
          <w:lang w:val="en-US" w:eastAsia="zh-CN"/>
        </w:rPr>
        <w:t>，占全县国土面积的56.12%。</w:t>
      </w:r>
    </w:p>
    <w:p w14:paraId="4AAF2B2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lang w:val="en-US" w:eastAsia="zh-CN"/>
        </w:rPr>
        <w:t>泽州县自然保护地包括太行山国家公园、猕猴省级自然保护区、丹河国家级湿地自然公园，总面积为</w:t>
      </w:r>
      <w:r>
        <w:rPr>
          <w:rFonts w:hint="default" w:eastAsia="宋体"/>
          <w:sz w:val="28"/>
          <w:szCs w:val="28"/>
          <w:lang w:val="en-US" w:eastAsia="zh-CN"/>
        </w:rPr>
        <w:t>589.77</w:t>
      </w:r>
      <w:r>
        <w:rPr>
          <w:rFonts w:hint="eastAsia" w:eastAsia="宋体"/>
          <w:sz w:val="28"/>
          <w:szCs w:val="28"/>
          <w:lang w:val="en-US" w:eastAsia="zh-CN"/>
        </w:rPr>
        <w:t>km</w:t>
      </w:r>
      <w:r>
        <w:rPr>
          <w:rFonts w:hint="eastAsia" w:eastAsia="宋体"/>
          <w:sz w:val="28"/>
          <w:szCs w:val="28"/>
          <w:vertAlign w:val="superscript"/>
          <w:lang w:val="en-US" w:eastAsia="zh-CN"/>
        </w:rPr>
        <w:t>2</w:t>
      </w:r>
      <w:r>
        <w:rPr>
          <w:rFonts w:eastAsia="宋体"/>
          <w:sz w:val="28"/>
          <w:szCs w:val="28"/>
          <w:lang w:val="en-US" w:eastAsia="zh-CN"/>
        </w:rPr>
        <w:t>，占全县域面积的</w:t>
      </w:r>
      <w:r>
        <w:rPr>
          <w:rFonts w:hint="default" w:eastAsia="宋体"/>
          <w:sz w:val="28"/>
          <w:szCs w:val="28"/>
          <w:lang w:val="en-US" w:eastAsia="zh-CN"/>
        </w:rPr>
        <w:t>29.13%</w:t>
      </w:r>
      <w:r>
        <w:rPr>
          <w:rFonts w:eastAsia="宋体"/>
          <w:sz w:val="28"/>
          <w:szCs w:val="28"/>
          <w:lang w:val="en-US" w:eastAsia="zh-CN"/>
        </w:rPr>
        <w:t>。核心保护区面积为</w:t>
      </w:r>
      <w:r>
        <w:rPr>
          <w:rFonts w:hint="default" w:eastAsia="宋体"/>
          <w:sz w:val="28"/>
          <w:szCs w:val="28"/>
          <w:lang w:val="en-US" w:eastAsia="zh-CN"/>
        </w:rPr>
        <w:t>416.26</w:t>
      </w:r>
      <w:r>
        <w:rPr>
          <w:rFonts w:hint="eastAsia" w:eastAsia="宋体"/>
          <w:sz w:val="28"/>
          <w:szCs w:val="28"/>
          <w:lang w:val="en-US" w:eastAsia="zh-CN"/>
        </w:rPr>
        <w:t>km</w:t>
      </w:r>
      <w:r>
        <w:rPr>
          <w:rFonts w:hint="eastAsia" w:eastAsia="宋体"/>
          <w:sz w:val="28"/>
          <w:szCs w:val="28"/>
          <w:vertAlign w:val="superscript"/>
          <w:lang w:val="en-US" w:eastAsia="zh-CN"/>
        </w:rPr>
        <w:t>2</w:t>
      </w:r>
      <w:r>
        <w:rPr>
          <w:rFonts w:eastAsia="宋体"/>
          <w:sz w:val="28"/>
          <w:szCs w:val="28"/>
          <w:lang w:val="en-US" w:eastAsia="zh-CN"/>
        </w:rPr>
        <w:t>，占全县域面积的</w:t>
      </w:r>
      <w:r>
        <w:rPr>
          <w:rFonts w:hint="default" w:eastAsia="宋体"/>
          <w:sz w:val="28"/>
          <w:szCs w:val="28"/>
          <w:lang w:val="en-US" w:eastAsia="zh-CN"/>
        </w:rPr>
        <w:t>20.56%</w:t>
      </w:r>
      <w:r>
        <w:rPr>
          <w:rFonts w:eastAsia="宋体"/>
          <w:sz w:val="28"/>
          <w:szCs w:val="28"/>
          <w:lang w:val="en-US" w:eastAsia="zh-CN"/>
        </w:rPr>
        <w:t>；一般控制区面积为</w:t>
      </w:r>
      <w:r>
        <w:rPr>
          <w:rFonts w:hint="default" w:eastAsia="宋体"/>
          <w:sz w:val="28"/>
          <w:szCs w:val="28"/>
          <w:lang w:val="en-US" w:eastAsia="zh-CN"/>
        </w:rPr>
        <w:t>173.51</w:t>
      </w:r>
      <w:r>
        <w:rPr>
          <w:rFonts w:hint="eastAsia" w:eastAsia="宋体"/>
          <w:sz w:val="28"/>
          <w:szCs w:val="28"/>
          <w:lang w:val="en-US" w:eastAsia="zh-CN"/>
        </w:rPr>
        <w:t>km</w:t>
      </w:r>
      <w:r>
        <w:rPr>
          <w:rFonts w:hint="eastAsia" w:eastAsia="宋体"/>
          <w:sz w:val="28"/>
          <w:szCs w:val="28"/>
          <w:vertAlign w:val="superscript"/>
          <w:lang w:val="en-US" w:eastAsia="zh-CN"/>
        </w:rPr>
        <w:t>2</w:t>
      </w:r>
      <w:r>
        <w:rPr>
          <w:rFonts w:eastAsia="宋体"/>
          <w:sz w:val="28"/>
          <w:szCs w:val="28"/>
          <w:lang w:val="en-US" w:eastAsia="zh-CN"/>
        </w:rPr>
        <w:t>，占全县域面积的</w:t>
      </w:r>
      <w:r>
        <w:rPr>
          <w:rFonts w:hint="default" w:eastAsia="宋体"/>
          <w:sz w:val="28"/>
          <w:szCs w:val="28"/>
          <w:lang w:val="en-US" w:eastAsia="zh-CN"/>
        </w:rPr>
        <w:t>8.57%</w:t>
      </w:r>
      <w:r>
        <w:rPr>
          <w:rFonts w:eastAsia="宋体"/>
          <w:sz w:val="28"/>
          <w:szCs w:val="28"/>
          <w:lang w:val="en-US" w:eastAsia="zh-CN"/>
        </w:rPr>
        <w:t>。</w:t>
      </w:r>
    </w:p>
    <w:p w14:paraId="1DDEF64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val="en-US" w:eastAsia="zh-CN"/>
        </w:rPr>
      </w:pPr>
      <w:r>
        <w:rPr>
          <w:rFonts w:hint="eastAsia" w:eastAsia="宋体"/>
          <w:sz w:val="28"/>
          <w:szCs w:val="28"/>
          <w:lang w:val="en-US" w:eastAsia="zh-CN"/>
        </w:rPr>
        <w:t>泽州县生态和河湖建设滞后，河道生态流量保障机制尚不完善。</w:t>
      </w:r>
    </w:p>
    <w:p w14:paraId="56D438C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val="en-US" w:eastAsia="zh-CN"/>
        </w:rPr>
      </w:pPr>
      <w:r>
        <w:rPr>
          <w:rFonts w:hint="eastAsia" w:eastAsia="宋体"/>
          <w:sz w:val="28"/>
          <w:szCs w:val="28"/>
          <w:lang w:val="en-US" w:eastAsia="zh-CN"/>
        </w:rPr>
        <w:t>一是因地下水开采过度导致的</w:t>
      </w:r>
      <w:r>
        <w:rPr>
          <w:rFonts w:eastAsia="宋体"/>
          <w:sz w:val="28"/>
          <w:szCs w:val="28"/>
        </w:rPr>
        <w:t>括巴公、北石店</w:t>
      </w:r>
      <w:r>
        <w:rPr>
          <w:rFonts w:hint="eastAsia" w:eastAsia="宋体"/>
          <w:sz w:val="28"/>
          <w:szCs w:val="28"/>
          <w:lang w:val="en-US" w:eastAsia="zh-CN"/>
        </w:rPr>
        <w:t>超采区至今没有实现止降回升，大量地表水、矿坑水、再生水被白白浪费。各乡镇供水结构中除东部及中部外基本均为地下水供水。</w:t>
      </w:r>
      <w:r>
        <w:rPr>
          <w:rFonts w:hint="default" w:eastAsia="宋体"/>
          <w:sz w:val="28"/>
          <w:szCs w:val="28"/>
        </w:rPr>
        <w:t>2020年12月水利部将</w:t>
      </w:r>
      <w:r>
        <w:rPr>
          <w:rFonts w:hint="eastAsia" w:eastAsia="宋体"/>
          <w:sz w:val="28"/>
          <w:szCs w:val="28"/>
          <w:lang w:val="en-US" w:eastAsia="zh-CN"/>
        </w:rPr>
        <w:t>泽州县</w:t>
      </w:r>
      <w:r>
        <w:rPr>
          <w:rFonts w:hint="default" w:eastAsia="宋体"/>
          <w:sz w:val="28"/>
          <w:szCs w:val="28"/>
        </w:rPr>
        <w:t>列入</w:t>
      </w:r>
      <w:r>
        <w:rPr>
          <w:rFonts w:hint="eastAsia" w:eastAsia="宋体"/>
          <w:sz w:val="28"/>
          <w:szCs w:val="28"/>
          <w:lang w:eastAsia="zh-CN"/>
        </w:rPr>
        <w:t>“</w:t>
      </w:r>
      <w:r>
        <w:rPr>
          <w:rFonts w:hint="default" w:eastAsia="宋体"/>
          <w:sz w:val="28"/>
          <w:szCs w:val="28"/>
        </w:rPr>
        <w:t>山丘区地下水过度开采区</w:t>
      </w:r>
      <w:r>
        <w:rPr>
          <w:rFonts w:hint="eastAsia" w:eastAsia="宋体"/>
          <w:sz w:val="28"/>
          <w:szCs w:val="28"/>
          <w:lang w:eastAsia="zh-CN"/>
        </w:rPr>
        <w:t>”</w:t>
      </w:r>
      <w:r>
        <w:rPr>
          <w:rFonts w:hint="default" w:eastAsia="宋体"/>
          <w:sz w:val="28"/>
          <w:szCs w:val="28"/>
        </w:rPr>
        <w:t>，已暂停地下水取水许可审批</w:t>
      </w:r>
      <w:r>
        <w:rPr>
          <w:rFonts w:hint="eastAsia" w:eastAsia="宋体"/>
          <w:sz w:val="28"/>
          <w:szCs w:val="28"/>
          <w:lang w:val="en-US" w:eastAsia="zh-CN"/>
        </w:rPr>
        <w:t>。</w:t>
      </w:r>
    </w:p>
    <w:p w14:paraId="5D423D6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val="en-US" w:eastAsia="zh-CN"/>
        </w:rPr>
      </w:pPr>
      <w:r>
        <w:rPr>
          <w:rFonts w:hint="eastAsia" w:eastAsia="宋体"/>
          <w:sz w:val="28"/>
          <w:szCs w:val="28"/>
          <w:lang w:val="en-US" w:eastAsia="zh-CN"/>
        </w:rPr>
        <w:t>二是因采煤沉陷导致的“河源保护危机”日益凸显，长河等河流清水流量均锐减甚至干涸，已无法维系生态，水库水域面积严重萎缩，“煤水矛盾”已经成为今后一段时期内水利工作所必须认真解决的重大问题。</w:t>
      </w:r>
    </w:p>
    <w:p w14:paraId="3725654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val="en-US" w:eastAsia="zh-CN"/>
        </w:rPr>
        <w:t>三是</w:t>
      </w:r>
      <w:r>
        <w:rPr>
          <w:rFonts w:hint="default" w:eastAsia="宋体"/>
          <w:sz w:val="28"/>
          <w:szCs w:val="28"/>
        </w:rPr>
        <w:t>主要河道堤岸渠化、人水疏离，和</w:t>
      </w:r>
      <w:r>
        <w:rPr>
          <w:rFonts w:hint="eastAsia" w:eastAsia="宋体"/>
          <w:sz w:val="28"/>
          <w:szCs w:val="28"/>
          <w:lang w:eastAsia="zh-CN"/>
        </w:rPr>
        <w:t>“</w:t>
      </w:r>
      <w:r>
        <w:rPr>
          <w:rFonts w:hint="default" w:eastAsia="宋体"/>
          <w:sz w:val="28"/>
          <w:szCs w:val="28"/>
        </w:rPr>
        <w:t>生态</w:t>
      </w:r>
      <w:r>
        <w:rPr>
          <w:rFonts w:hint="eastAsia" w:eastAsia="宋体"/>
          <w:sz w:val="28"/>
          <w:szCs w:val="28"/>
          <w:lang w:eastAsia="zh-CN"/>
        </w:rPr>
        <w:t>”</w:t>
      </w:r>
      <w:r>
        <w:rPr>
          <w:rFonts w:hint="default" w:eastAsia="宋体"/>
          <w:sz w:val="28"/>
          <w:szCs w:val="28"/>
        </w:rPr>
        <w:t>要求相距甚远。</w:t>
      </w:r>
      <w:r>
        <w:rPr>
          <w:rFonts w:hint="eastAsia" w:eastAsia="宋体"/>
          <w:sz w:val="28"/>
          <w:szCs w:val="28"/>
          <w:lang w:val="en-US" w:eastAsia="zh-CN"/>
        </w:rPr>
        <w:t>目前丹河、长河等主要城市河流基本能满足近期防洪要求，但除了新建公园段其余河道两岸基本全是硬质混凝土或浆砌石堤防，堤岸渠化、人水疏离，与人民群众期待的生态河湖相差甚远。</w:t>
      </w:r>
    </w:p>
    <w:p w14:paraId="4617BCE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val="en-US" w:eastAsia="zh-CN"/>
        </w:rPr>
        <w:t>四是河道生态流量保障机制尚不完善。根据山西省水利厅晋水资源函〔2021〕301号文要求，全省流域面积50平方公里以上的河流均应编制生态流量保障方案，其中泽州涉及到丹河、长河、巴公河北石店河等13条河流，目前生态流量保障方案尚未完成，生态流量保障措施及监测尚未配套完善。结合泽州县现状情况，河流水源多为污水处理厂处理后的中水或沿线村庄企业排入的处理后的中水，水质整体不好，若中水重新配置后排入河道的水量将明显减少，河流生态流量得不到保障。</w:t>
      </w:r>
    </w:p>
    <w:p w14:paraId="5DBB1ED6">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r>
        <w:rPr>
          <w:rFonts w:hint="eastAsia" w:ascii="Times New Roman" w:hAnsi="Times New Roman" w:eastAsia="宋体"/>
          <w:lang w:val="en-US" w:eastAsia="zh-CN"/>
        </w:rPr>
        <w:t>1.1.7水旱灾害历史及状况</w:t>
      </w:r>
      <w:bookmarkEnd w:id="7"/>
    </w:p>
    <w:p w14:paraId="407C7DF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highlight w:val="none"/>
          <w:lang w:val="en-US" w:eastAsia="zh-CN"/>
        </w:rPr>
      </w:pPr>
      <w:r>
        <w:rPr>
          <w:rFonts w:hint="eastAsia" w:eastAsia="宋体"/>
          <w:sz w:val="28"/>
          <w:szCs w:val="28"/>
          <w:highlight w:val="none"/>
          <w:lang w:val="en-US" w:eastAsia="zh-CN"/>
        </w:rPr>
        <w:t>泽州县年降水量的60%集中于六、七、八月，汛期伴随短历时、强降雨，各区域内洪水频发，但随着泽州县城市化的快速发展，流域内下垫面变化较大，硬质地面越来越多，地面的硬质化，使得地表径流系数变大，产汇流速度加快。而产汇流速度的加快，导致河道洪峰流量加大，洪水位抬高，加之城市建设和地块开发时填堵河道、侵占河岸、覆盖河面等种种蚕食河道行为，导致发生洪水时，临河街道尤其是低洼处常受洪水灾害侵袭，严重影响了人民的生命财产安全及出行。</w:t>
      </w:r>
    </w:p>
    <w:p w14:paraId="34248F7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highlight w:val="none"/>
          <w:lang w:val="en-US" w:eastAsia="zh-CN"/>
        </w:rPr>
      </w:pPr>
      <w:r>
        <w:rPr>
          <w:rFonts w:hint="eastAsia" w:eastAsia="宋体"/>
          <w:sz w:val="28"/>
          <w:szCs w:val="28"/>
          <w:highlight w:val="none"/>
          <w:lang w:val="en-US" w:eastAsia="zh-CN"/>
        </w:rPr>
        <w:t>根据历史记载，泽州发生大水灾有多次，据《凤台县志、津梁》记载西关景德桥洪水状况，即可推断在泽州县发生大水灾的可能性。</w:t>
      </w:r>
    </w:p>
    <w:p w14:paraId="1E57F9F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highlight w:val="none"/>
          <w:lang w:val="en-US" w:eastAsia="zh-CN"/>
        </w:rPr>
      </w:pPr>
      <w:r>
        <w:rPr>
          <w:rFonts w:hint="eastAsia" w:eastAsia="宋体"/>
          <w:sz w:val="28"/>
          <w:szCs w:val="28"/>
          <w:highlight w:val="none"/>
          <w:lang w:val="en-US" w:eastAsia="zh-CN"/>
        </w:rPr>
        <w:t>景德桥系“金大己酉”（公元1189年）知州黄仲宣修建，明昌辛亥（公元1191年）告成，距今已有800余年。清乾隆四十八年（公元1783年）于桥上游埋设一根铁柱，用两道铁箍固定在侧墙上，相传铁柱是河南驻晋商人为预报故乡水情而埋设的水位标。河水淹没头道铁箍，河南将有水灾险情。洪水淹没二道铁箍，则表示河南将遭水淹。便立即派人驱马下山急告，作好预防水患的准备。由此可见白水河历史上经常有大洪水出现。据桥孔断面测算，当时景德桥最大过水流量约300m</w:t>
      </w:r>
      <w:r>
        <w:rPr>
          <w:rFonts w:hint="eastAsia" w:eastAsia="宋体"/>
          <w:sz w:val="28"/>
          <w:szCs w:val="28"/>
          <w:highlight w:val="none"/>
          <w:vertAlign w:val="superscript"/>
          <w:lang w:val="en-US" w:eastAsia="zh-CN"/>
        </w:rPr>
        <w:t>3</w:t>
      </w:r>
      <w:r>
        <w:rPr>
          <w:rFonts w:hint="eastAsia" w:eastAsia="宋体"/>
          <w:sz w:val="28"/>
          <w:szCs w:val="28"/>
          <w:highlight w:val="none"/>
          <w:lang w:val="en-US" w:eastAsia="zh-CN"/>
        </w:rPr>
        <w:t>/s。</w:t>
      </w:r>
    </w:p>
    <w:p w14:paraId="199DE0A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highlight w:val="none"/>
          <w:lang w:val="en-US" w:eastAsia="zh-CN"/>
        </w:rPr>
      </w:pPr>
      <w:r>
        <w:rPr>
          <w:rFonts w:hint="eastAsia" w:eastAsia="宋体"/>
          <w:sz w:val="28"/>
          <w:szCs w:val="28"/>
          <w:highlight w:val="none"/>
          <w:lang w:val="en-US" w:eastAsia="zh-CN"/>
        </w:rPr>
        <w:t>明成化八年（公元1573年）“平地起水丈余”；明成化11年泽州大水；明成化18年，6-8月阴雨，沁、丹、黄同时涨水，黄河南北诸水溢。明正清8年，晋城秋8月大雷雨，平地水丈余，淹没庄稼四千顷。明嘉靖36年，泽州发生大水灾，损坏田禾民舍。明隆庆四年泽州发生大水灾，漂没庐舍人多淹死。清康熙26年泽州大水。</w:t>
      </w:r>
    </w:p>
    <w:p w14:paraId="7C2736E0">
      <w:pPr>
        <w:pStyle w:val="5"/>
        <w:bidi w:val="0"/>
        <w:ind w:firstLine="0"/>
        <w:rPr>
          <w:rFonts w:hint="eastAsia" w:ascii="Times New Roman" w:hAnsi="Times New Roman"/>
          <w:lang w:val="en-US" w:eastAsia="zh-CN"/>
        </w:rPr>
      </w:pPr>
      <w:bookmarkStart w:id="8" w:name="_Toc5878"/>
      <w:bookmarkStart w:id="9" w:name="_Toc36060027"/>
      <w:r>
        <w:rPr>
          <w:rFonts w:hint="eastAsia" w:ascii="Times New Roman" w:hAnsi="Times New Roman"/>
          <w:lang w:val="en-US" w:eastAsia="zh-CN"/>
        </w:rPr>
        <w:t>1.2经济社会</w:t>
      </w:r>
      <w:bookmarkEnd w:id="8"/>
      <w:bookmarkEnd w:id="9"/>
    </w:p>
    <w:p w14:paraId="0EAD6AC1">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bookmarkStart w:id="10" w:name="_Toc36060028"/>
      <w:r>
        <w:rPr>
          <w:rFonts w:hint="eastAsia" w:ascii="Times New Roman" w:hAnsi="Times New Roman" w:eastAsia="宋体"/>
          <w:lang w:val="en-US" w:eastAsia="zh-CN"/>
        </w:rPr>
        <w:t>1.2.1人口空间分布特征</w:t>
      </w:r>
      <w:bookmarkEnd w:id="10"/>
    </w:p>
    <w:p w14:paraId="58867B1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lang w:val="en-US" w:eastAsia="zh-CN"/>
        </w:rPr>
      </w:pPr>
      <w:r>
        <w:rPr>
          <w:rFonts w:hint="eastAsia" w:eastAsia="宋体"/>
          <w:color w:val="auto"/>
          <w:sz w:val="28"/>
          <w:szCs w:val="28"/>
          <w:highlight w:val="none"/>
          <w:lang w:val="en-US" w:eastAsia="zh-CN"/>
        </w:rPr>
        <w:t>泽州县</w:t>
      </w:r>
      <w:r>
        <w:rPr>
          <w:rFonts w:hint="default" w:ascii="Times New Roman" w:hAnsi="Times New Roman" w:eastAsia="宋体" w:cs="Times New Roman"/>
          <w:sz w:val="28"/>
          <w:szCs w:val="28"/>
          <w:highlight w:val="none"/>
        </w:rPr>
        <w:t>下辖</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"https://baike.baidu.com/item/%E9%87%91%E6%9D%91%E9%95%87/3834801?fromModule=lemma_inlink"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金村镇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"https://baike.baidu.com/item/%E5%B7%B4%E5%85%AC%E9%95%87?fromModule=lemma_inlink"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巴公镇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"https://baike.baidu.com/item/%E5%A4%A7%E9%98%B3%E9%95%87/24145?fromModule=lemma_inlink"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大阳镇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"https://baike.baidu.com/item/%E9%AB%98%E9%83%BD%E9%95%87/9909845?fromModule=lemma_inlink"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高都镇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"https://baike.baidu.com/item/%E5%8D%97%E6%9D%91%E9%95%87/5904793?fromModule=lemma_inlink"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Fonts w:hint="eastAsia" w:eastAsia="宋体" w:cs="Times New Roman"/>
          <w:i w:val="0"/>
          <w:iCs w:val="0"/>
          <w:caps w:val="0"/>
          <w:color w:val="auto"/>
          <w:spacing w:val="0"/>
          <w:sz w:val="28"/>
          <w:szCs w:val="28"/>
          <w:highlight w:val="none"/>
          <w:u w:val="none"/>
          <w:shd w:val="clear" w:fill="FFFFFF"/>
          <w:lang w:val="en-US" w:eastAsia="zh-CN"/>
        </w:rPr>
        <w:t>南村</w:t>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"https://baike.baidu.com/item/%E7%8A%81%E5%B7%9D%E9%95%87?fromModule=lemma_inlink"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犁川镇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"https://baike.baidu.com/item/%E6%99%8B%E5%BA%99%E9%93%BA%E9%95%87?fromModule=lemma_inlink"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晋庙铺镇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"https://baike.baidu.com/item/%E5%91%A8%E6%9D%91%E9%95%87/6374198?fromModule=lemma_inlink"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周村镇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"https://baike.baidu.com/item/%E5%A4%A7%E4%B8%9C%E6%B2%9F%E9%95%87?fromModule=lemma_inlink"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大东沟镇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"https://baike.baidu.com/item/%E4%B8%8B%E6%9D%91%E9%95%87/1284734?fromModule=lemma_inlink"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下村镇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"https://baike.baidu.com/item/%E5%8C%97%E4%B9%89%E5%9F%8E%E9%95%87?fromModule=lemma_inlink"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北义城镇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"https://baike.baidu.com/item/%E6%9F%B3%E6%A0%91%E5%8F%A3%E9%95%87/3841929?fromModule=lemma_inlink"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柳树口镇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"https://baike.baidu.com/item/%E5%B1%B1%E6%B2%B3%E9%95%87/44887?fromModule=lemma_inlink"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山河镇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"https://baike.baidu.com/item/%E5%A4%A7%E7%AE%95%E9%95%87?fromModule=lemma_inlink"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大箕镇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"https://baike.baidu.com/item/%E5%8D%97%E5%B2%AD%E9%95%87/57116286?fromModule=lemma_inlink"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南岭镇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default" w:ascii="Times New Roman" w:hAnsi="Times New Roman" w:eastAsia="宋体" w:cs="Times New Roman"/>
          <w:i w:val="0"/>
          <w:iCs w:val="0"/>
          <w:caps w:val="0"/>
          <w:color w:val="auto"/>
          <w:spacing w:val="0"/>
          <w:sz w:val="28"/>
          <w:szCs w:val="28"/>
          <w:highlight w:val="none"/>
          <w:shd w:val="clear" w:fill="FFFFFF"/>
        </w:rPr>
        <w:t>、</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begin"/>
      </w:r>
      <w:r>
        <w:rPr>
          <w:rFonts w:hint="default" w:ascii="Times New Roman" w:hAnsi="Times New Roman" w:eastAsia="宋体" w:cs="Times New Roman"/>
          <w:i w:val="0"/>
          <w:iCs w:val="0"/>
          <w:caps w:val="0"/>
          <w:color w:val="auto"/>
          <w:spacing w:val="0"/>
          <w:sz w:val="28"/>
          <w:szCs w:val="28"/>
          <w:highlight w:val="none"/>
          <w:u w:val="none"/>
          <w:shd w:val="clear" w:fill="FFFFFF"/>
        </w:rPr>
        <w:instrText xml:space="preserve"> HYPERLINK "https://baike.baidu.com/item/%E5%B7%9D%E5%BA%95%E9%95%87/57116292?fromModule=lemma_inlink" \t "https://baike.baidu.com/item/%E6%B3%BD%E5%B7%9E%E5%8E%BF/_blank" </w:instrTex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separate"/>
      </w:r>
      <w:r>
        <w:rPr>
          <w:rStyle w:val="38"/>
          <w:rFonts w:hint="default" w:ascii="Times New Roman" w:hAnsi="Times New Roman" w:eastAsia="宋体" w:cs="Times New Roman"/>
          <w:i w:val="0"/>
          <w:iCs w:val="0"/>
          <w:caps w:val="0"/>
          <w:color w:val="auto"/>
          <w:spacing w:val="0"/>
          <w:sz w:val="28"/>
          <w:szCs w:val="28"/>
          <w:highlight w:val="none"/>
          <w:u w:val="none"/>
          <w:shd w:val="clear" w:fill="FFFFFF"/>
        </w:rPr>
        <w:t>川底镇</w:t>
      </w:r>
      <w:r>
        <w:rPr>
          <w:rFonts w:hint="default" w:ascii="Times New Roman" w:hAnsi="Times New Roman" w:eastAsia="宋体" w:cs="Times New Roman"/>
          <w:i w:val="0"/>
          <w:iCs w:val="0"/>
          <w:caps w:val="0"/>
          <w:color w:val="auto"/>
          <w:spacing w:val="0"/>
          <w:sz w:val="28"/>
          <w:szCs w:val="28"/>
          <w:highlight w:val="none"/>
          <w:u w:val="none"/>
          <w:shd w:val="clear" w:fill="FFFFFF"/>
        </w:rPr>
        <w:fldChar w:fldCharType="end"/>
      </w:r>
      <w:r>
        <w:rPr>
          <w:rFonts w:hint="eastAsia" w:eastAsia="宋体" w:cs="Times New Roman"/>
          <w:sz w:val="28"/>
          <w:szCs w:val="28"/>
          <w:highlight w:val="none"/>
          <w:lang w:val="en-US" w:eastAsia="zh-CN"/>
        </w:rPr>
        <w:t>16个镇，434个村（居）民委员会。</w:t>
      </w:r>
    </w:p>
    <w:p w14:paraId="251A0D5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default" w:ascii="Times New Roman" w:hAnsi="Times New Roman" w:eastAsia="宋体" w:cs="Times New Roman"/>
          <w:sz w:val="28"/>
          <w:szCs w:val="28"/>
        </w:rPr>
        <w:t>根据《</w:t>
      </w:r>
      <w:r>
        <w:rPr>
          <w:rFonts w:hint="eastAsia" w:eastAsia="宋体" w:cs="Times New Roman"/>
          <w:sz w:val="28"/>
          <w:szCs w:val="28"/>
          <w:lang w:val="en-US" w:eastAsia="zh-CN"/>
        </w:rPr>
        <w:t>2021泽州</w:t>
      </w:r>
      <w:r>
        <w:rPr>
          <w:rFonts w:hint="default" w:ascii="Times New Roman" w:hAnsi="Times New Roman" w:eastAsia="宋体" w:cs="Times New Roman"/>
          <w:sz w:val="28"/>
          <w:szCs w:val="28"/>
        </w:rPr>
        <w:t>统计年鉴》，2</w:t>
      </w:r>
      <w:r>
        <w:rPr>
          <w:rFonts w:hint="eastAsia" w:eastAsia="宋体" w:cs="Times New Roman"/>
          <w:sz w:val="28"/>
          <w:szCs w:val="28"/>
          <w:lang w:val="en-US" w:eastAsia="zh-CN"/>
        </w:rPr>
        <w:t>020</w:t>
      </w:r>
      <w:r>
        <w:rPr>
          <w:rFonts w:hint="default" w:ascii="Times New Roman" w:hAnsi="Times New Roman" w:eastAsia="宋体" w:cs="Times New Roman"/>
          <w:sz w:val="28"/>
          <w:szCs w:val="28"/>
        </w:rPr>
        <w:t>年末全县</w:t>
      </w:r>
      <w:r>
        <w:rPr>
          <w:rFonts w:hint="eastAsia" w:eastAsia="宋体" w:cs="Times New Roman"/>
          <w:sz w:val="28"/>
          <w:szCs w:val="28"/>
          <w:lang w:val="en-US" w:eastAsia="zh-CN"/>
        </w:rPr>
        <w:t>常住人口41.5万人，其中城镇人口20.07万人，占总人口比重为48.43%，比上年末提高0.88个百分点。乡村人口21.37万人，占总人口比重51.57%。</w:t>
      </w:r>
    </w:p>
    <w:p w14:paraId="2B0ED44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泽州县城镇建设适宜区面积为</w:t>
      </w:r>
      <w:r>
        <w:rPr>
          <w:rFonts w:hint="default" w:eastAsia="宋体"/>
          <w:color w:val="auto"/>
          <w:sz w:val="28"/>
          <w:szCs w:val="28"/>
          <w:highlight w:val="none"/>
          <w:lang w:val="en-US" w:eastAsia="zh-CN"/>
        </w:rPr>
        <w:t>979.74</w:t>
      </w:r>
      <w:r>
        <w:rPr>
          <w:rFonts w:hint="eastAsia" w:eastAsia="宋体"/>
          <w:color w:val="auto"/>
          <w:sz w:val="28"/>
          <w:szCs w:val="28"/>
          <w:highlight w:val="none"/>
          <w:lang w:val="en-US" w:eastAsia="zh-CN"/>
        </w:rPr>
        <w:t>km</w:t>
      </w:r>
      <w:r>
        <w:rPr>
          <w:rFonts w:hint="eastAsia" w:eastAsia="宋体"/>
          <w:color w:val="auto"/>
          <w:sz w:val="28"/>
          <w:szCs w:val="28"/>
          <w:highlight w:val="none"/>
          <w:vertAlign w:val="superscript"/>
          <w:lang w:val="en-US" w:eastAsia="zh-CN"/>
        </w:rPr>
        <w:t>2</w:t>
      </w:r>
      <w:r>
        <w:rPr>
          <w:rFonts w:hint="eastAsia" w:eastAsia="宋体"/>
          <w:color w:val="auto"/>
          <w:sz w:val="28"/>
          <w:szCs w:val="28"/>
          <w:highlight w:val="none"/>
          <w:lang w:val="en-US" w:eastAsia="zh-CN"/>
        </w:rPr>
        <w:t>，占全县国土面积的</w:t>
      </w:r>
      <w:r>
        <w:rPr>
          <w:rFonts w:hint="default" w:eastAsia="宋体"/>
          <w:color w:val="auto"/>
          <w:sz w:val="28"/>
          <w:szCs w:val="28"/>
          <w:highlight w:val="none"/>
          <w:lang w:val="en-US" w:eastAsia="zh-CN"/>
        </w:rPr>
        <w:t>48.40%</w:t>
      </w:r>
      <w:r>
        <w:rPr>
          <w:rFonts w:hint="eastAsia" w:eastAsia="宋体"/>
          <w:color w:val="auto"/>
          <w:sz w:val="28"/>
          <w:szCs w:val="28"/>
          <w:highlight w:val="none"/>
          <w:lang w:val="en-US" w:eastAsia="zh-CN"/>
        </w:rPr>
        <w:t>，主要分布于盆地和山间宽谷地区；不适宜区面积为</w:t>
      </w:r>
      <w:r>
        <w:rPr>
          <w:rFonts w:hint="default" w:eastAsia="宋体"/>
          <w:color w:val="auto"/>
          <w:sz w:val="28"/>
          <w:szCs w:val="28"/>
          <w:highlight w:val="none"/>
          <w:lang w:val="en-US" w:eastAsia="zh-CN"/>
        </w:rPr>
        <w:t>156.45</w:t>
      </w:r>
      <w:r>
        <w:rPr>
          <w:rFonts w:hint="eastAsia" w:eastAsia="宋体"/>
          <w:color w:val="auto"/>
          <w:sz w:val="28"/>
          <w:szCs w:val="28"/>
          <w:highlight w:val="none"/>
          <w:lang w:val="en-US" w:eastAsia="zh-CN"/>
        </w:rPr>
        <w:t>km</w:t>
      </w:r>
      <w:r>
        <w:rPr>
          <w:rFonts w:hint="eastAsia" w:eastAsia="宋体"/>
          <w:color w:val="auto"/>
          <w:sz w:val="28"/>
          <w:szCs w:val="28"/>
          <w:highlight w:val="none"/>
          <w:vertAlign w:val="superscript"/>
          <w:lang w:val="en-US" w:eastAsia="zh-CN"/>
        </w:rPr>
        <w:t>2</w:t>
      </w:r>
      <w:r>
        <w:rPr>
          <w:rFonts w:hint="eastAsia" w:eastAsia="宋体"/>
          <w:color w:val="auto"/>
          <w:sz w:val="28"/>
          <w:szCs w:val="28"/>
          <w:highlight w:val="none"/>
          <w:lang w:val="en-US" w:eastAsia="zh-CN"/>
        </w:rPr>
        <w:t>，占全县国土面积的</w:t>
      </w:r>
      <w:r>
        <w:rPr>
          <w:rFonts w:hint="default" w:eastAsia="宋体"/>
          <w:color w:val="auto"/>
          <w:sz w:val="28"/>
          <w:szCs w:val="28"/>
          <w:highlight w:val="none"/>
          <w:lang w:val="en-US" w:eastAsia="zh-CN"/>
        </w:rPr>
        <w:t>7.72%</w:t>
      </w:r>
      <w:r>
        <w:rPr>
          <w:rFonts w:hint="eastAsia" w:eastAsia="宋体"/>
          <w:color w:val="auto"/>
          <w:sz w:val="28"/>
          <w:szCs w:val="28"/>
          <w:highlight w:val="none"/>
          <w:lang w:val="en-US" w:eastAsia="zh-CN"/>
        </w:rPr>
        <w:t>，多分布于山地丘陵地区。</w:t>
      </w:r>
    </w:p>
    <w:p w14:paraId="2977A50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olor w:val="auto"/>
          <w:sz w:val="28"/>
          <w:szCs w:val="28"/>
          <w:highlight w:val="none"/>
          <w:lang w:val="en-US" w:eastAsia="zh-CN"/>
        </w:rPr>
      </w:pPr>
      <w:r>
        <w:rPr>
          <w:rFonts w:hint="eastAsia" w:eastAsia="宋体"/>
          <w:color w:val="auto"/>
          <w:sz w:val="28"/>
          <w:szCs w:val="28"/>
          <w:highlight w:val="none"/>
          <w:lang w:val="en-US" w:eastAsia="zh-CN"/>
        </w:rPr>
        <w:t>根据最严格的水资源管理要求，到</w:t>
      </w:r>
      <w:r>
        <w:rPr>
          <w:rFonts w:hint="default" w:eastAsia="宋体"/>
          <w:color w:val="auto"/>
          <w:sz w:val="28"/>
          <w:szCs w:val="28"/>
          <w:highlight w:val="none"/>
          <w:lang w:val="en-US" w:eastAsia="zh-CN"/>
        </w:rPr>
        <w:t>2035</w:t>
      </w:r>
      <w:r>
        <w:rPr>
          <w:rFonts w:hint="eastAsia" w:eastAsia="宋体"/>
          <w:color w:val="auto"/>
          <w:sz w:val="28"/>
          <w:szCs w:val="28"/>
          <w:highlight w:val="none"/>
          <w:lang w:val="en-US" w:eastAsia="zh-CN"/>
        </w:rPr>
        <w:t>年泽州县可承载建设用地的最大规模为</w:t>
      </w:r>
      <w:r>
        <w:rPr>
          <w:rFonts w:hint="default" w:eastAsia="宋体"/>
          <w:color w:val="auto"/>
          <w:sz w:val="28"/>
          <w:szCs w:val="28"/>
          <w:highlight w:val="none"/>
          <w:lang w:val="en-US" w:eastAsia="zh-CN"/>
        </w:rPr>
        <w:t>74.80</w:t>
      </w:r>
      <w:r>
        <w:rPr>
          <w:rFonts w:hint="eastAsia" w:eastAsia="宋体"/>
          <w:color w:val="auto"/>
          <w:sz w:val="28"/>
          <w:szCs w:val="28"/>
          <w:highlight w:val="none"/>
          <w:lang w:val="en-US" w:eastAsia="zh-CN"/>
        </w:rPr>
        <w:t>km</w:t>
      </w:r>
      <w:r>
        <w:rPr>
          <w:rFonts w:hint="eastAsia" w:eastAsia="宋体"/>
          <w:color w:val="auto"/>
          <w:sz w:val="28"/>
          <w:szCs w:val="28"/>
          <w:highlight w:val="none"/>
          <w:vertAlign w:val="superscript"/>
          <w:lang w:val="en-US" w:eastAsia="zh-CN"/>
        </w:rPr>
        <w:t>2</w:t>
      </w:r>
      <w:r>
        <w:rPr>
          <w:rFonts w:hint="eastAsia" w:eastAsia="宋体"/>
          <w:color w:val="auto"/>
          <w:sz w:val="28"/>
          <w:szCs w:val="28"/>
          <w:highlight w:val="none"/>
          <w:lang w:val="en-US" w:eastAsia="zh-CN"/>
        </w:rPr>
        <w:t>。</w:t>
      </w:r>
    </w:p>
    <w:p w14:paraId="0C919A1D">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bookmarkStart w:id="11" w:name="_Toc36060029"/>
      <w:r>
        <w:rPr>
          <w:rFonts w:hint="eastAsia" w:ascii="Times New Roman" w:hAnsi="Times New Roman" w:eastAsia="宋体"/>
          <w:lang w:val="en-US" w:eastAsia="zh-CN"/>
        </w:rPr>
        <w:t>1.2.2经济特征</w:t>
      </w:r>
      <w:bookmarkEnd w:id="11"/>
    </w:p>
    <w:p w14:paraId="73356F2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2020年，</w:t>
      </w:r>
      <w:r>
        <w:rPr>
          <w:rFonts w:hint="default" w:ascii="Times New Roman" w:hAnsi="Times New Roman" w:eastAsia="宋体" w:cs="Times New Roman"/>
          <w:sz w:val="28"/>
          <w:szCs w:val="28"/>
        </w:rPr>
        <w:t>泽州县全县生产总值完成</w:t>
      </w:r>
      <w:r>
        <w:rPr>
          <w:rFonts w:hint="default" w:ascii="Times New Roman" w:hAnsi="Times New Roman" w:eastAsia="宋体" w:cs="Times New Roman"/>
          <w:sz w:val="28"/>
          <w:szCs w:val="28"/>
          <w:lang w:val="en-US" w:eastAsia="zh-CN"/>
        </w:rPr>
        <w:t>300.5</w:t>
      </w:r>
      <w:r>
        <w:rPr>
          <w:rFonts w:hint="default" w:ascii="Times New Roman" w:hAnsi="Times New Roman" w:eastAsia="宋体" w:cs="Times New Roman"/>
          <w:sz w:val="28"/>
          <w:szCs w:val="28"/>
        </w:rPr>
        <w:t>亿元，</w:t>
      </w:r>
      <w:r>
        <w:rPr>
          <w:rFonts w:hint="eastAsia" w:eastAsia="宋体" w:cs="Times New Roman"/>
          <w:sz w:val="28"/>
          <w:szCs w:val="28"/>
          <w:lang w:val="en-US" w:eastAsia="zh-CN"/>
        </w:rPr>
        <w:t>按可比价格计算，</w:t>
      </w:r>
      <w:r>
        <w:rPr>
          <w:rFonts w:hint="default" w:ascii="Times New Roman" w:hAnsi="Times New Roman" w:eastAsia="宋体" w:cs="Times New Roman"/>
          <w:sz w:val="28"/>
          <w:szCs w:val="28"/>
        </w:rPr>
        <w:t>增长</w:t>
      </w:r>
      <w:r>
        <w:rPr>
          <w:rFonts w:hint="eastAsia" w:eastAsia="宋体" w:cs="Times New Roman"/>
          <w:sz w:val="28"/>
          <w:szCs w:val="28"/>
          <w:lang w:val="en-US" w:eastAsia="zh-CN"/>
        </w:rPr>
        <w:t>6.3</w:t>
      </w:r>
      <w:r>
        <w:rPr>
          <w:rFonts w:hint="default" w:ascii="Times New Roman" w:hAnsi="Times New Roman" w:eastAsia="宋体" w:cs="Times New Roman"/>
          <w:sz w:val="28"/>
          <w:szCs w:val="28"/>
        </w:rPr>
        <w:t>%。其中：第一产业增加值完成</w:t>
      </w:r>
      <w:r>
        <w:rPr>
          <w:rFonts w:hint="eastAsia" w:eastAsia="宋体" w:cs="Times New Roman"/>
          <w:sz w:val="28"/>
          <w:szCs w:val="28"/>
          <w:lang w:val="en-US" w:eastAsia="zh-CN"/>
        </w:rPr>
        <w:t>14.8</w:t>
      </w:r>
      <w:r>
        <w:rPr>
          <w:rFonts w:hint="default" w:ascii="Times New Roman" w:hAnsi="Times New Roman" w:eastAsia="宋体" w:cs="Times New Roman"/>
          <w:sz w:val="28"/>
          <w:szCs w:val="28"/>
        </w:rPr>
        <w:t>亿元，增长</w:t>
      </w:r>
      <w:r>
        <w:rPr>
          <w:rFonts w:hint="eastAsia" w:eastAsia="宋体" w:cs="Times New Roman"/>
          <w:sz w:val="28"/>
          <w:szCs w:val="28"/>
          <w:lang w:val="en-US" w:eastAsia="zh-CN"/>
        </w:rPr>
        <w:t>5.4</w:t>
      </w:r>
      <w:r>
        <w:rPr>
          <w:rFonts w:hint="default" w:ascii="Times New Roman" w:hAnsi="Times New Roman" w:eastAsia="宋体" w:cs="Times New Roman"/>
          <w:sz w:val="28"/>
          <w:szCs w:val="28"/>
        </w:rPr>
        <w:t>%，占生产总值的比重为</w:t>
      </w:r>
      <w:r>
        <w:rPr>
          <w:rFonts w:hint="eastAsia" w:eastAsia="宋体" w:cs="Times New Roman"/>
          <w:sz w:val="28"/>
          <w:szCs w:val="28"/>
          <w:lang w:val="en-US" w:eastAsia="zh-CN"/>
        </w:rPr>
        <w:t>4.9</w:t>
      </w:r>
      <w:r>
        <w:rPr>
          <w:rFonts w:hint="default" w:ascii="Times New Roman" w:hAnsi="Times New Roman" w:eastAsia="宋体" w:cs="Times New Roman"/>
          <w:sz w:val="28"/>
          <w:szCs w:val="28"/>
        </w:rPr>
        <w:t>%；第二产业增加值完成</w:t>
      </w:r>
      <w:r>
        <w:rPr>
          <w:rFonts w:hint="eastAsia" w:eastAsia="宋体" w:cs="Times New Roman"/>
          <w:sz w:val="28"/>
          <w:szCs w:val="28"/>
          <w:lang w:val="en-US" w:eastAsia="zh-CN"/>
        </w:rPr>
        <w:t>205.5</w:t>
      </w:r>
      <w:r>
        <w:rPr>
          <w:rFonts w:hint="default" w:ascii="Times New Roman" w:hAnsi="Times New Roman" w:eastAsia="宋体" w:cs="Times New Roman"/>
          <w:sz w:val="28"/>
          <w:szCs w:val="28"/>
        </w:rPr>
        <w:t>亿元，</w:t>
      </w:r>
      <w:r>
        <w:rPr>
          <w:rFonts w:hint="eastAsia" w:eastAsia="宋体" w:cs="Times New Roman"/>
          <w:sz w:val="28"/>
          <w:szCs w:val="28"/>
          <w:lang w:val="en-US" w:eastAsia="zh-CN"/>
        </w:rPr>
        <w:t>增长6.7</w:t>
      </w:r>
      <w:r>
        <w:rPr>
          <w:rFonts w:hint="default" w:ascii="Times New Roman" w:hAnsi="Times New Roman" w:eastAsia="宋体" w:cs="Times New Roman"/>
          <w:sz w:val="28"/>
          <w:szCs w:val="28"/>
        </w:rPr>
        <w:t>%，占生产总值的比重为</w:t>
      </w:r>
      <w:r>
        <w:rPr>
          <w:rFonts w:hint="eastAsia" w:eastAsia="宋体" w:cs="Times New Roman"/>
          <w:sz w:val="28"/>
          <w:szCs w:val="28"/>
          <w:lang w:val="en-US" w:eastAsia="zh-CN"/>
        </w:rPr>
        <w:t>68.4</w:t>
      </w:r>
      <w:r>
        <w:rPr>
          <w:rFonts w:hint="default" w:ascii="Times New Roman" w:hAnsi="Times New Roman" w:eastAsia="宋体" w:cs="Times New Roman"/>
          <w:sz w:val="28"/>
          <w:szCs w:val="28"/>
        </w:rPr>
        <w:t>%；第三产业增加值</w:t>
      </w:r>
      <w:r>
        <w:rPr>
          <w:rFonts w:hint="eastAsia" w:eastAsia="宋体" w:cs="Times New Roman"/>
          <w:sz w:val="28"/>
          <w:szCs w:val="28"/>
          <w:lang w:val="en-US" w:eastAsia="zh-CN"/>
        </w:rPr>
        <w:t>80.3</w:t>
      </w:r>
      <w:r>
        <w:rPr>
          <w:rFonts w:hint="default" w:ascii="Times New Roman" w:hAnsi="Times New Roman" w:eastAsia="宋体" w:cs="Times New Roman"/>
          <w:sz w:val="28"/>
          <w:szCs w:val="28"/>
        </w:rPr>
        <w:t>亿元，增长</w:t>
      </w:r>
      <w:r>
        <w:rPr>
          <w:rFonts w:hint="eastAsia" w:eastAsia="宋体" w:cs="Times New Roman"/>
          <w:sz w:val="28"/>
          <w:szCs w:val="28"/>
          <w:lang w:val="en-US" w:eastAsia="zh-CN"/>
        </w:rPr>
        <w:t>5.3</w:t>
      </w:r>
      <w:r>
        <w:rPr>
          <w:rFonts w:hint="default" w:ascii="Times New Roman" w:hAnsi="Times New Roman" w:eastAsia="宋体" w:cs="Times New Roman"/>
          <w:sz w:val="28"/>
          <w:szCs w:val="28"/>
        </w:rPr>
        <w:t>%，占生产总值的比重为</w:t>
      </w:r>
      <w:r>
        <w:rPr>
          <w:rFonts w:hint="eastAsia" w:eastAsia="宋体" w:cs="Times New Roman"/>
          <w:sz w:val="28"/>
          <w:szCs w:val="28"/>
          <w:lang w:val="en-US" w:eastAsia="zh-CN"/>
        </w:rPr>
        <w:t>26.7</w:t>
      </w:r>
      <w:r>
        <w:rPr>
          <w:rFonts w:hint="default" w:ascii="Times New Roman" w:hAnsi="Times New Roman" w:eastAsia="宋体" w:cs="Times New Roman"/>
          <w:sz w:val="28"/>
          <w:szCs w:val="28"/>
        </w:rPr>
        <w:t>%。</w:t>
      </w:r>
    </w:p>
    <w:p w14:paraId="71055E8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eastAsia="宋体" w:cs="Times New Roman"/>
          <w:sz w:val="28"/>
          <w:szCs w:val="28"/>
          <w:lang w:val="en-US" w:eastAsia="zh-CN"/>
        </w:rPr>
        <w:t>新兴产业动力逐步加强。全年规模以上工业中，战略性新兴产业增加值增长30.9%，占规模以上工业增加值的比重为16.9%；高技术制造业增加值增长5.3%，占规模以上工业增加值的比重为0.4%；装备制造业增加值增长1.1%，占规模以上工业增加值的比重为1.8%。</w:t>
      </w:r>
    </w:p>
    <w:p w14:paraId="54BBC66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全年新登记市场主体3527户，日均新登记企业14户，年末市场主体总数达23669户。</w:t>
      </w:r>
    </w:p>
    <w:p w14:paraId="7BD6ED8C">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bookmarkStart w:id="12" w:name="_Toc36060030"/>
      <w:r>
        <w:rPr>
          <w:rFonts w:hint="eastAsia" w:ascii="Times New Roman" w:hAnsi="Times New Roman" w:eastAsia="宋体"/>
          <w:lang w:val="en-US" w:eastAsia="zh-CN"/>
        </w:rPr>
        <w:t>1.2.3农业空间特征</w:t>
      </w:r>
      <w:bookmarkEnd w:id="12"/>
    </w:p>
    <w:p w14:paraId="0081427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highlight w:val="none"/>
          <w:lang w:val="en-US" w:eastAsia="zh-CN"/>
        </w:rPr>
      </w:pPr>
      <w:r>
        <w:rPr>
          <w:rFonts w:hint="eastAsia" w:eastAsia="宋体" w:cs="Times New Roman"/>
          <w:sz w:val="28"/>
          <w:szCs w:val="28"/>
          <w:highlight w:val="none"/>
          <w:lang w:val="en-US" w:eastAsia="zh-CN"/>
        </w:rPr>
        <w:t>泽州县农业生产适宜区面积为</w:t>
      </w:r>
      <w:r>
        <w:rPr>
          <w:rFonts w:hint="default" w:eastAsia="宋体" w:cs="Times New Roman"/>
          <w:sz w:val="28"/>
          <w:szCs w:val="28"/>
          <w:highlight w:val="none"/>
          <w:lang w:val="en-US" w:eastAsia="zh-CN"/>
        </w:rPr>
        <w:t>1109.48</w:t>
      </w:r>
      <w:r>
        <w:rPr>
          <w:rFonts w:hint="eastAsia" w:eastAsia="宋体" w:cs="Times New Roman"/>
          <w:sz w:val="28"/>
          <w:szCs w:val="28"/>
          <w:highlight w:val="none"/>
          <w:lang w:val="en-US" w:eastAsia="zh-CN"/>
        </w:rPr>
        <w:t>km</w:t>
      </w:r>
      <w:r>
        <w:rPr>
          <w:rFonts w:hint="eastAsia" w:eastAsia="宋体" w:cs="Times New Roman"/>
          <w:sz w:val="28"/>
          <w:szCs w:val="28"/>
          <w:highlight w:val="none"/>
          <w:vertAlign w:val="superscript"/>
          <w:lang w:val="en-US" w:eastAsia="zh-CN"/>
        </w:rPr>
        <w:t>2</w:t>
      </w:r>
      <w:r>
        <w:rPr>
          <w:rFonts w:hint="eastAsia" w:eastAsia="宋体" w:cs="Times New Roman"/>
          <w:sz w:val="28"/>
          <w:szCs w:val="28"/>
          <w:highlight w:val="none"/>
          <w:lang w:val="en-US" w:eastAsia="zh-CN"/>
        </w:rPr>
        <w:t>，占全县国土面积的</w:t>
      </w:r>
      <w:r>
        <w:rPr>
          <w:rFonts w:hint="default" w:eastAsia="宋体" w:cs="Times New Roman"/>
          <w:sz w:val="28"/>
          <w:szCs w:val="28"/>
          <w:highlight w:val="none"/>
          <w:lang w:val="en-US" w:eastAsia="zh-CN"/>
        </w:rPr>
        <w:t>54.81%</w:t>
      </w:r>
      <w:r>
        <w:rPr>
          <w:rFonts w:hint="eastAsia" w:eastAsia="宋体" w:cs="Times New Roman"/>
          <w:sz w:val="28"/>
          <w:szCs w:val="28"/>
          <w:highlight w:val="none"/>
          <w:lang w:val="en-US" w:eastAsia="zh-CN"/>
        </w:rPr>
        <w:t>，集中分布在盆地和山间宽谷地区，该区域地势平坦，丹河和长河穿流而过，适宜农业生产。农业生产不适宜区面积为</w:t>
      </w:r>
      <w:r>
        <w:rPr>
          <w:rFonts w:hint="default" w:eastAsia="宋体" w:cs="Times New Roman"/>
          <w:sz w:val="28"/>
          <w:szCs w:val="28"/>
          <w:highlight w:val="none"/>
          <w:lang w:val="en-US" w:eastAsia="zh-CN"/>
        </w:rPr>
        <w:t>26.71</w:t>
      </w:r>
      <w:r>
        <w:rPr>
          <w:rFonts w:hint="eastAsia" w:eastAsia="宋体"/>
          <w:sz w:val="28"/>
          <w:szCs w:val="28"/>
          <w:lang w:val="en-US" w:eastAsia="zh-CN"/>
        </w:rPr>
        <w:t>km</w:t>
      </w:r>
      <w:r>
        <w:rPr>
          <w:rFonts w:hint="eastAsia" w:eastAsia="宋体"/>
          <w:sz w:val="28"/>
          <w:szCs w:val="28"/>
          <w:vertAlign w:val="superscript"/>
          <w:lang w:val="en-US" w:eastAsia="zh-CN"/>
        </w:rPr>
        <w:t>2</w:t>
      </w:r>
      <w:r>
        <w:rPr>
          <w:rFonts w:hint="eastAsia" w:eastAsia="宋体" w:cs="Times New Roman"/>
          <w:sz w:val="28"/>
          <w:szCs w:val="28"/>
          <w:highlight w:val="none"/>
          <w:lang w:val="en-US" w:eastAsia="zh-CN"/>
        </w:rPr>
        <w:t>，占全县国土面积的</w:t>
      </w:r>
      <w:r>
        <w:rPr>
          <w:rFonts w:hint="default" w:eastAsia="宋体" w:cs="Times New Roman"/>
          <w:sz w:val="28"/>
          <w:szCs w:val="28"/>
          <w:highlight w:val="none"/>
          <w:lang w:val="en-US" w:eastAsia="zh-CN"/>
        </w:rPr>
        <w:t>1.31%</w:t>
      </w:r>
      <w:r>
        <w:rPr>
          <w:rFonts w:hint="eastAsia" w:eastAsia="宋体" w:cs="Times New Roman"/>
          <w:sz w:val="28"/>
          <w:szCs w:val="28"/>
          <w:highlight w:val="none"/>
          <w:lang w:val="en-US" w:eastAsia="zh-CN"/>
        </w:rPr>
        <w:t>。</w:t>
      </w:r>
    </w:p>
    <w:p w14:paraId="2E9E2F4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highlight w:val="none"/>
          <w:lang w:val="en-US" w:eastAsia="zh-CN"/>
        </w:rPr>
      </w:pPr>
      <w:r>
        <w:rPr>
          <w:rFonts w:hint="eastAsia" w:eastAsia="宋体" w:cs="Times New Roman"/>
          <w:sz w:val="28"/>
          <w:szCs w:val="28"/>
          <w:highlight w:val="none"/>
          <w:lang w:val="en-US" w:eastAsia="zh-CN"/>
        </w:rPr>
        <w:t>根据最严格的水资源管理要求，到</w:t>
      </w:r>
      <w:r>
        <w:rPr>
          <w:rFonts w:hint="default" w:eastAsia="宋体" w:cs="Times New Roman"/>
          <w:sz w:val="28"/>
          <w:szCs w:val="28"/>
          <w:highlight w:val="none"/>
          <w:lang w:val="en-US" w:eastAsia="zh-CN"/>
        </w:rPr>
        <w:t>2035</w:t>
      </w:r>
      <w:r>
        <w:rPr>
          <w:rFonts w:hint="eastAsia" w:eastAsia="宋体" w:cs="Times New Roman"/>
          <w:sz w:val="28"/>
          <w:szCs w:val="28"/>
          <w:highlight w:val="none"/>
          <w:lang w:val="en-US" w:eastAsia="zh-CN"/>
        </w:rPr>
        <w:t>年全县可承载农业生产最大规模为</w:t>
      </w:r>
      <w:r>
        <w:rPr>
          <w:rFonts w:hint="default" w:eastAsia="宋体" w:cs="Times New Roman"/>
          <w:sz w:val="28"/>
          <w:szCs w:val="28"/>
          <w:highlight w:val="none"/>
          <w:lang w:val="en-US" w:eastAsia="zh-CN"/>
        </w:rPr>
        <w:t>755.10</w:t>
      </w:r>
      <w:r>
        <w:rPr>
          <w:rFonts w:hint="eastAsia" w:eastAsia="宋体"/>
          <w:sz w:val="28"/>
          <w:szCs w:val="28"/>
          <w:lang w:val="en-US" w:eastAsia="zh-CN"/>
        </w:rPr>
        <w:t>km</w:t>
      </w:r>
      <w:r>
        <w:rPr>
          <w:rFonts w:hint="eastAsia" w:eastAsia="宋体"/>
          <w:sz w:val="28"/>
          <w:szCs w:val="28"/>
          <w:vertAlign w:val="superscript"/>
          <w:lang w:val="en-US" w:eastAsia="zh-CN"/>
        </w:rPr>
        <w:t>2</w:t>
      </w:r>
      <w:r>
        <w:rPr>
          <w:rFonts w:hint="eastAsia" w:eastAsia="宋体" w:cs="Times New Roman"/>
          <w:sz w:val="28"/>
          <w:szCs w:val="28"/>
          <w:highlight w:val="none"/>
          <w:lang w:val="en-US" w:eastAsia="zh-CN"/>
        </w:rPr>
        <w:t>。</w:t>
      </w:r>
    </w:p>
    <w:p w14:paraId="3B44CB7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rPr>
      </w:pPr>
      <w:r>
        <w:rPr>
          <w:rFonts w:hint="eastAsia" w:eastAsia="宋体" w:cs="Times New Roman"/>
          <w:sz w:val="28"/>
          <w:szCs w:val="28"/>
          <w:highlight w:val="none"/>
          <w:lang w:val="en-US" w:eastAsia="zh-CN"/>
        </w:rPr>
        <w:t>2020年</w:t>
      </w:r>
      <w:r>
        <w:rPr>
          <w:rFonts w:hint="default" w:ascii="Times New Roman" w:hAnsi="Times New Roman" w:eastAsia="宋体" w:cs="Times New Roman"/>
          <w:sz w:val="28"/>
          <w:szCs w:val="28"/>
          <w:highlight w:val="none"/>
        </w:rPr>
        <w:t>全年</w:t>
      </w:r>
      <w:r>
        <w:rPr>
          <w:rFonts w:hint="eastAsia" w:eastAsia="宋体" w:cs="Times New Roman"/>
          <w:sz w:val="28"/>
          <w:szCs w:val="28"/>
          <w:highlight w:val="none"/>
          <w:lang w:val="en-US" w:eastAsia="zh-CN"/>
        </w:rPr>
        <w:t>泽州县</w:t>
      </w:r>
      <w:r>
        <w:rPr>
          <w:rFonts w:hint="default" w:ascii="Times New Roman" w:hAnsi="Times New Roman" w:eastAsia="宋体" w:cs="Times New Roman"/>
          <w:sz w:val="28"/>
          <w:szCs w:val="28"/>
          <w:highlight w:val="none"/>
        </w:rPr>
        <w:t>农作物种植面积51717.8公顷，比上年增加818公顷。其中：粮食种植面积48670.5公顷，增加1019.7公顷；油料种植面积600.1公顷，增加30.7公顷；棉花种植面积0.5公顷，与去年持平。在粮食种植面积中，玉米种植面积8342.8公顷，增加15.5公顷；小麦种植面积31124.7公顷</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减少217.4公顷。</w:t>
      </w:r>
    </w:p>
    <w:p w14:paraId="503C079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全年粮食总产量18.7万吨，比上年增加0.2万吨，同比增产1.1%。其中，夏粮12.4万吨，增产4.3%；秋粮6.3万吨，减产5.1%。</w:t>
      </w:r>
    </w:p>
    <w:p w14:paraId="0386B989">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default" w:ascii="Times New Roman" w:hAnsi="Times New Roman" w:eastAsia="宋体"/>
          <w:lang w:val="en-US" w:eastAsia="zh-CN"/>
        </w:rPr>
      </w:pPr>
      <w:bookmarkStart w:id="13" w:name="_Toc36060031"/>
      <w:r>
        <w:rPr>
          <w:rFonts w:hint="eastAsia" w:ascii="Times New Roman" w:hAnsi="Times New Roman" w:eastAsia="宋体"/>
          <w:lang w:val="en-US" w:eastAsia="zh-CN"/>
        </w:rPr>
        <w:t>1.2.4</w:t>
      </w:r>
      <w:r>
        <w:rPr>
          <w:rFonts w:hint="default" w:ascii="Times New Roman" w:hAnsi="Times New Roman" w:eastAsia="宋体"/>
          <w:lang w:val="en-US" w:eastAsia="zh-CN"/>
        </w:rPr>
        <w:t>水与经济社会发展的空间匹配特点</w:t>
      </w:r>
    </w:p>
    <w:p w14:paraId="4C4AF4D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人口密度高的</w:t>
      </w:r>
      <w:r>
        <w:rPr>
          <w:rFonts w:hint="default" w:ascii="Times New Roman" w:hAnsi="Times New Roman" w:eastAsia="宋体" w:cs="Times New Roman"/>
          <w:sz w:val="28"/>
          <w:szCs w:val="28"/>
          <w:lang w:eastAsia="zh-CN"/>
        </w:rPr>
        <w:t>地区</w:t>
      </w:r>
      <w:r>
        <w:rPr>
          <w:rFonts w:hint="default" w:ascii="Times New Roman" w:hAnsi="Times New Roman" w:eastAsia="宋体" w:cs="Times New Roman"/>
          <w:sz w:val="28"/>
          <w:szCs w:val="28"/>
        </w:rPr>
        <w:t>，经济发展较为迅速，人口聚集效应显著，人口与经济发展相互促进。</w:t>
      </w:r>
      <w:r>
        <w:rPr>
          <w:rFonts w:hint="default" w:ascii="Times New Roman" w:hAnsi="Times New Roman" w:eastAsia="宋体" w:cs="Times New Roman"/>
          <w:sz w:val="28"/>
          <w:szCs w:val="28"/>
          <w:lang w:eastAsia="zh-CN"/>
        </w:rPr>
        <w:t>主要以</w:t>
      </w:r>
      <w:r>
        <w:rPr>
          <w:rFonts w:hint="eastAsia" w:eastAsia="宋体" w:cs="Times New Roman"/>
          <w:sz w:val="28"/>
          <w:szCs w:val="28"/>
          <w:lang w:val="en-US" w:eastAsia="zh-CN"/>
        </w:rPr>
        <w:t>丹</w:t>
      </w:r>
      <w:r>
        <w:rPr>
          <w:rFonts w:hint="default" w:ascii="Times New Roman" w:hAnsi="Times New Roman" w:eastAsia="宋体" w:cs="Times New Roman"/>
          <w:sz w:val="28"/>
          <w:szCs w:val="28"/>
        </w:rPr>
        <w:t>河</w:t>
      </w:r>
      <w:r>
        <w:rPr>
          <w:rFonts w:hint="eastAsia" w:eastAsia="宋体" w:cs="Times New Roman"/>
          <w:sz w:val="28"/>
          <w:szCs w:val="28"/>
          <w:lang w:eastAsia="zh-CN"/>
        </w:rPr>
        <w:t>、</w:t>
      </w:r>
      <w:r>
        <w:rPr>
          <w:rFonts w:hint="eastAsia" w:eastAsia="宋体" w:cs="Times New Roman"/>
          <w:sz w:val="28"/>
          <w:szCs w:val="28"/>
          <w:lang w:val="en-US" w:eastAsia="zh-CN"/>
        </w:rPr>
        <w:t>长河</w:t>
      </w:r>
      <w:r>
        <w:rPr>
          <w:rFonts w:hint="default" w:ascii="Times New Roman" w:hAnsi="Times New Roman" w:eastAsia="宋体" w:cs="Times New Roman"/>
          <w:sz w:val="28"/>
          <w:szCs w:val="28"/>
        </w:rPr>
        <w:t>形成经济快速发展区域，从多年来人口分布、经济发展</w:t>
      </w:r>
      <w:r>
        <w:rPr>
          <w:rFonts w:hint="default" w:ascii="Times New Roman" w:hAnsi="Times New Roman" w:eastAsia="宋体" w:cs="Times New Roman"/>
          <w:sz w:val="28"/>
          <w:szCs w:val="28"/>
          <w:lang w:eastAsia="zh-CN"/>
        </w:rPr>
        <w:t>来看，</w:t>
      </w:r>
      <w:r>
        <w:rPr>
          <w:rFonts w:hint="default" w:ascii="Times New Roman" w:hAnsi="Times New Roman" w:eastAsia="宋体" w:cs="Times New Roman"/>
          <w:sz w:val="28"/>
          <w:szCs w:val="28"/>
        </w:rPr>
        <w:t>形成了</w:t>
      </w:r>
      <w:r>
        <w:rPr>
          <w:rFonts w:hint="eastAsia" w:eastAsia="宋体" w:cs="Times New Roman"/>
          <w:sz w:val="28"/>
          <w:szCs w:val="28"/>
          <w:lang w:eastAsia="zh-CN"/>
        </w:rPr>
        <w:t>“</w:t>
      </w:r>
      <w:r>
        <w:rPr>
          <w:rFonts w:hint="eastAsia" w:eastAsia="宋体" w:cs="Times New Roman"/>
          <w:sz w:val="28"/>
          <w:szCs w:val="28"/>
          <w:lang w:val="en-US" w:eastAsia="zh-CN"/>
        </w:rPr>
        <w:t>一城三带</w:t>
      </w:r>
      <w:r>
        <w:rPr>
          <w:rFonts w:hint="eastAsia" w:eastAsia="宋体" w:cs="Times New Roman"/>
          <w:sz w:val="28"/>
          <w:szCs w:val="28"/>
          <w:lang w:eastAsia="zh-CN"/>
        </w:rPr>
        <w:t>”</w:t>
      </w:r>
      <w:r>
        <w:rPr>
          <w:rFonts w:hint="default" w:ascii="Times New Roman" w:hAnsi="Times New Roman" w:eastAsia="宋体" w:cs="Times New Roman"/>
          <w:sz w:val="28"/>
          <w:szCs w:val="28"/>
        </w:rPr>
        <w:t>的发展格局。</w:t>
      </w:r>
    </w:p>
    <w:p w14:paraId="4B9DE45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val="en-US" w:eastAsia="zh-CN"/>
        </w:rPr>
        <w:t>一城：中心城区，通过新城建设，促进人口、资源要素集中，建设成为全县行政中心、创新中心、文化中心、教育中心、交通枢纽中心，引领全县高质量发展。三带：长河流域转型升级示范带，以煤炭、煤化工、铸造为重点；丹河流域创新驱动示范带，以先进装备制造和特色高效农业为重点；东南部山区乡村振兴示范带，以文旅康养融合发展为重点。</w:t>
      </w:r>
    </w:p>
    <w:p w14:paraId="6F4BD7D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highlight w:val="none"/>
        </w:rPr>
      </w:pPr>
      <w:r>
        <w:rPr>
          <w:rFonts w:hint="default" w:ascii="Times New Roman" w:hAnsi="Times New Roman" w:eastAsia="宋体" w:cs="Times New Roman"/>
          <w:sz w:val="28"/>
          <w:szCs w:val="28"/>
          <w:highlight w:val="none"/>
        </w:rPr>
        <w:t>由此可以看出水资源对城市的发展，人口的聚集起着基础支撑作用，随着城市人口及快速聚集，也会凸显出水资源对于经济发展的制约作用。</w:t>
      </w:r>
    </w:p>
    <w:p w14:paraId="11B35B8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highlight w:val="none"/>
          <w:lang w:val="en-US" w:eastAsia="zh-CN"/>
        </w:rPr>
      </w:pPr>
      <w:r>
        <w:rPr>
          <w:rFonts w:hint="default" w:ascii="Times New Roman" w:hAnsi="Times New Roman" w:eastAsia="宋体" w:cs="Times New Roman"/>
          <w:sz w:val="28"/>
          <w:szCs w:val="28"/>
          <w:highlight w:val="none"/>
        </w:rPr>
        <w:t>根据晋城市第二次水资源评价2008年成果，</w:t>
      </w:r>
      <w:r>
        <w:rPr>
          <w:rFonts w:hint="eastAsia" w:eastAsia="宋体" w:cs="Times New Roman"/>
          <w:sz w:val="28"/>
          <w:szCs w:val="28"/>
          <w:highlight w:val="none"/>
          <w:lang w:val="en-US" w:eastAsia="zh-CN"/>
        </w:rPr>
        <w:t>泽州</w:t>
      </w:r>
      <w:r>
        <w:rPr>
          <w:rFonts w:hint="default" w:ascii="Times New Roman" w:hAnsi="Times New Roman" w:eastAsia="宋体" w:cs="Times New Roman"/>
          <w:sz w:val="28"/>
          <w:szCs w:val="28"/>
          <w:highlight w:val="none"/>
        </w:rPr>
        <w:t>县</w:t>
      </w:r>
      <w:r>
        <w:rPr>
          <w:rFonts w:hint="eastAsia" w:eastAsia="宋体" w:cs="Times New Roman"/>
          <w:sz w:val="28"/>
          <w:szCs w:val="28"/>
          <w:highlight w:val="none"/>
          <w:lang w:val="en-US" w:eastAsia="zh-CN"/>
        </w:rPr>
        <w:t>1956~2016年地表</w:t>
      </w:r>
      <w:r>
        <w:rPr>
          <w:rFonts w:hint="default" w:ascii="Times New Roman" w:hAnsi="Times New Roman" w:eastAsia="宋体" w:cs="Times New Roman"/>
          <w:sz w:val="28"/>
          <w:szCs w:val="28"/>
          <w:highlight w:val="none"/>
        </w:rPr>
        <w:t>水资源量</w:t>
      </w:r>
      <w:r>
        <w:rPr>
          <w:rFonts w:hint="eastAsia" w:eastAsia="宋体" w:cs="Times New Roman"/>
          <w:sz w:val="28"/>
          <w:szCs w:val="28"/>
          <w:highlight w:val="none"/>
          <w:lang w:val="en-US" w:eastAsia="zh-CN"/>
        </w:rPr>
        <w:t>2.22</w:t>
      </w:r>
      <w:r>
        <w:rPr>
          <w:rFonts w:hint="default" w:ascii="Times New Roman" w:hAnsi="Times New Roman" w:eastAsia="宋体" w:cs="Times New Roman"/>
          <w:sz w:val="28"/>
          <w:szCs w:val="28"/>
          <w:highlight w:val="none"/>
        </w:rPr>
        <w:t>亿m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highlight w:val="none"/>
        </w:rPr>
        <w:t>，</w:t>
      </w:r>
      <w:r>
        <w:rPr>
          <w:rFonts w:hint="eastAsia" w:eastAsia="宋体" w:cs="Times New Roman"/>
          <w:sz w:val="28"/>
          <w:szCs w:val="28"/>
          <w:highlight w:val="none"/>
          <w:lang w:val="en-US" w:eastAsia="zh-CN"/>
        </w:rPr>
        <w:t>占水资源总量的22.5%，1956~2000年地表</w:t>
      </w:r>
      <w:r>
        <w:rPr>
          <w:rFonts w:hint="default" w:ascii="Times New Roman" w:hAnsi="Times New Roman" w:eastAsia="宋体" w:cs="Times New Roman"/>
          <w:sz w:val="28"/>
          <w:szCs w:val="28"/>
          <w:highlight w:val="none"/>
        </w:rPr>
        <w:t>水资源量</w:t>
      </w:r>
      <w:r>
        <w:rPr>
          <w:rFonts w:hint="eastAsia" w:eastAsia="宋体" w:cs="Times New Roman"/>
          <w:sz w:val="28"/>
          <w:szCs w:val="28"/>
          <w:highlight w:val="none"/>
          <w:lang w:val="en-US" w:eastAsia="zh-CN"/>
        </w:rPr>
        <w:t>3.01</w:t>
      </w:r>
      <w:r>
        <w:rPr>
          <w:rFonts w:hint="default" w:ascii="Times New Roman" w:hAnsi="Times New Roman" w:eastAsia="宋体" w:cs="Times New Roman"/>
          <w:sz w:val="28"/>
          <w:szCs w:val="28"/>
          <w:highlight w:val="none"/>
        </w:rPr>
        <w:t>亿m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highlight w:val="none"/>
        </w:rPr>
        <w:t>，</w:t>
      </w:r>
      <w:r>
        <w:rPr>
          <w:rFonts w:hint="eastAsia" w:eastAsia="宋体" w:cs="Times New Roman"/>
          <w:sz w:val="28"/>
          <w:szCs w:val="28"/>
          <w:highlight w:val="none"/>
          <w:lang w:val="en-US" w:eastAsia="zh-CN"/>
        </w:rPr>
        <w:t>占水资源总量的26.64%。</w:t>
      </w:r>
    </w:p>
    <w:p w14:paraId="2983C4C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yellow"/>
          <w:lang w:val="en-US" w:eastAsia="zh-CN"/>
        </w:rPr>
      </w:pPr>
      <w:r>
        <w:rPr>
          <w:rFonts w:hint="eastAsia" w:eastAsia="宋体" w:cs="Times New Roman"/>
          <w:sz w:val="28"/>
          <w:szCs w:val="28"/>
          <w:highlight w:val="none"/>
          <w:lang w:val="en-US" w:eastAsia="zh-CN"/>
        </w:rPr>
        <w:t>根据</w:t>
      </w:r>
      <w:r>
        <w:rPr>
          <w:rFonts w:hint="eastAsia" w:eastAsia="宋体"/>
          <w:kern w:val="0"/>
          <w:sz w:val="28"/>
          <w:szCs w:val="28"/>
          <w:lang w:val="en-US" w:eastAsia="zh-CN"/>
        </w:rPr>
        <w:t>《2020年度晋城市水资源公报》，泽州县2020年水资源总量21173万m</w:t>
      </w:r>
      <w:r>
        <w:rPr>
          <w:rFonts w:hint="eastAsia" w:eastAsia="宋体"/>
          <w:kern w:val="0"/>
          <w:sz w:val="28"/>
          <w:szCs w:val="28"/>
          <w:vertAlign w:val="superscript"/>
          <w:lang w:val="en-US" w:eastAsia="zh-CN"/>
        </w:rPr>
        <w:t>3</w:t>
      </w:r>
      <w:r>
        <w:rPr>
          <w:rFonts w:hint="eastAsia" w:eastAsia="宋体"/>
          <w:kern w:val="0"/>
          <w:sz w:val="28"/>
          <w:szCs w:val="28"/>
          <w:lang w:val="en-US" w:eastAsia="zh-CN"/>
        </w:rPr>
        <w:t>，其中地表水资源量16082万m</w:t>
      </w:r>
      <w:r>
        <w:rPr>
          <w:rFonts w:hint="eastAsia" w:eastAsia="宋体"/>
          <w:kern w:val="0"/>
          <w:sz w:val="28"/>
          <w:szCs w:val="28"/>
          <w:vertAlign w:val="superscript"/>
          <w:lang w:val="en-US" w:eastAsia="zh-CN"/>
        </w:rPr>
        <w:t>3</w:t>
      </w:r>
      <w:r>
        <w:rPr>
          <w:rFonts w:hint="eastAsia" w:eastAsia="宋体"/>
          <w:kern w:val="0"/>
          <w:sz w:val="28"/>
          <w:szCs w:val="28"/>
          <w:lang w:val="en-US" w:eastAsia="zh-CN"/>
        </w:rPr>
        <w:t>，地下水资源量16375万m</w:t>
      </w:r>
      <w:r>
        <w:rPr>
          <w:rFonts w:hint="eastAsia" w:eastAsia="宋体"/>
          <w:kern w:val="0"/>
          <w:sz w:val="28"/>
          <w:szCs w:val="28"/>
          <w:vertAlign w:val="superscript"/>
          <w:lang w:val="en-US" w:eastAsia="zh-CN"/>
        </w:rPr>
        <w:t>3</w:t>
      </w:r>
      <w:r>
        <w:rPr>
          <w:rFonts w:hint="eastAsia" w:eastAsia="宋体"/>
          <w:kern w:val="0"/>
          <w:sz w:val="28"/>
          <w:szCs w:val="28"/>
          <w:lang w:val="en-US" w:eastAsia="zh-CN"/>
        </w:rPr>
        <w:t>，重复计算量11284万m</w:t>
      </w:r>
      <w:r>
        <w:rPr>
          <w:rFonts w:hint="eastAsia" w:eastAsia="宋体"/>
          <w:kern w:val="0"/>
          <w:sz w:val="28"/>
          <w:szCs w:val="28"/>
          <w:vertAlign w:val="superscript"/>
          <w:lang w:val="en-US" w:eastAsia="zh-CN"/>
        </w:rPr>
        <w:t>3</w:t>
      </w:r>
      <w:r>
        <w:rPr>
          <w:rFonts w:hint="eastAsia" w:eastAsia="宋体"/>
          <w:kern w:val="0"/>
          <w:sz w:val="28"/>
          <w:szCs w:val="28"/>
          <w:lang w:val="en-US" w:eastAsia="zh-CN"/>
        </w:rPr>
        <w:t>，人均水资源量466m</w:t>
      </w:r>
      <w:r>
        <w:rPr>
          <w:rFonts w:hint="eastAsia" w:eastAsia="宋体"/>
          <w:kern w:val="0"/>
          <w:sz w:val="28"/>
          <w:szCs w:val="28"/>
          <w:vertAlign w:val="superscript"/>
          <w:lang w:val="en-US" w:eastAsia="zh-CN"/>
        </w:rPr>
        <w:t>3</w:t>
      </w:r>
      <w:r>
        <w:rPr>
          <w:rFonts w:hint="eastAsia" w:eastAsia="宋体"/>
          <w:kern w:val="0"/>
          <w:sz w:val="28"/>
          <w:szCs w:val="28"/>
          <w:lang w:val="en-US" w:eastAsia="zh-CN"/>
        </w:rPr>
        <w:t>。基本与全市平均水平443m</w:t>
      </w:r>
      <w:r>
        <w:rPr>
          <w:rFonts w:hint="eastAsia" w:eastAsia="宋体"/>
          <w:kern w:val="0"/>
          <w:sz w:val="28"/>
          <w:szCs w:val="28"/>
          <w:vertAlign w:val="superscript"/>
          <w:lang w:val="en-US" w:eastAsia="zh-CN"/>
        </w:rPr>
        <w:t>3</w:t>
      </w:r>
      <w:r>
        <w:rPr>
          <w:rFonts w:hint="eastAsia" w:eastAsia="宋体"/>
          <w:kern w:val="0"/>
          <w:sz w:val="28"/>
          <w:szCs w:val="28"/>
          <w:vertAlign w:val="baseline"/>
          <w:lang w:val="en-US" w:eastAsia="zh-CN"/>
        </w:rPr>
        <w:t>持平，高于全省平均391m</w:t>
      </w:r>
      <w:r>
        <w:rPr>
          <w:rFonts w:hint="eastAsia" w:eastAsia="宋体"/>
          <w:kern w:val="0"/>
          <w:sz w:val="28"/>
          <w:szCs w:val="28"/>
          <w:vertAlign w:val="superscript"/>
          <w:lang w:val="en-US" w:eastAsia="zh-CN"/>
        </w:rPr>
        <w:t>3</w:t>
      </w:r>
      <w:r>
        <w:rPr>
          <w:rFonts w:hint="eastAsia" w:eastAsia="宋体"/>
          <w:kern w:val="0"/>
          <w:sz w:val="28"/>
          <w:szCs w:val="28"/>
          <w:vertAlign w:val="baseline"/>
          <w:lang w:val="en-US" w:eastAsia="zh-CN"/>
        </w:rPr>
        <w:t>。</w:t>
      </w:r>
    </w:p>
    <w:bookmarkEnd w:id="13"/>
    <w:p w14:paraId="28B365B2">
      <w:pPr>
        <w:pStyle w:val="5"/>
        <w:bidi w:val="0"/>
        <w:ind w:firstLine="0"/>
        <w:rPr>
          <w:rFonts w:hint="default" w:ascii="Times New Roman" w:hAnsi="Times New Roman"/>
          <w:lang w:val="en-US" w:eastAsia="zh-CN"/>
        </w:rPr>
      </w:pPr>
      <w:bookmarkStart w:id="14" w:name="_Toc36060033"/>
      <w:bookmarkStart w:id="15" w:name="_Toc28511"/>
      <w:bookmarkStart w:id="16" w:name="_Toc20431"/>
      <w:bookmarkStart w:id="17" w:name="_Toc36060036"/>
      <w:r>
        <w:rPr>
          <w:rFonts w:hint="eastAsia" w:ascii="Times New Roman" w:hAnsi="Times New Roman"/>
          <w:lang w:val="en-US" w:eastAsia="zh-CN"/>
        </w:rPr>
        <w:t>1.3</w:t>
      </w:r>
      <w:r>
        <w:rPr>
          <w:rFonts w:hint="default" w:ascii="Times New Roman" w:hAnsi="Times New Roman"/>
          <w:lang w:val="en-US" w:eastAsia="zh-CN"/>
        </w:rPr>
        <w:t>涉水空间与水利基础设施现状</w:t>
      </w:r>
      <w:bookmarkEnd w:id="14"/>
      <w:bookmarkEnd w:id="15"/>
      <w:bookmarkEnd w:id="16"/>
    </w:p>
    <w:p w14:paraId="02EF197A">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default" w:ascii="Times New Roman" w:hAnsi="Times New Roman" w:eastAsia="宋体"/>
          <w:lang w:val="en-US" w:eastAsia="zh-CN"/>
        </w:rPr>
      </w:pPr>
      <w:bookmarkStart w:id="18" w:name="_Toc36060034"/>
      <w:r>
        <w:rPr>
          <w:rFonts w:hint="eastAsia" w:ascii="Times New Roman" w:hAnsi="Times New Roman" w:eastAsia="宋体"/>
          <w:lang w:val="en-US" w:eastAsia="zh-CN"/>
        </w:rPr>
        <w:t>1.3.1</w:t>
      </w:r>
      <w:r>
        <w:rPr>
          <w:rFonts w:hint="default" w:ascii="Times New Roman" w:hAnsi="Times New Roman" w:eastAsia="宋体"/>
          <w:lang w:val="en-US" w:eastAsia="zh-CN"/>
        </w:rPr>
        <w:t>涉水空间保护与利用状况</w:t>
      </w:r>
      <w:bookmarkEnd w:id="18"/>
    </w:p>
    <w:p w14:paraId="12022E5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涉水生态空间是组成生态空间的一个重要组成部分，是生态空间中的涉水部分，是为水文生态系统提供必要的空间，直接为人类提供涉水生态服务或生态产品，以及保障涉水生态服务或生态产品正常供给的生态空间。</w:t>
      </w:r>
    </w:p>
    <w:p w14:paraId="4AD5131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涉水生态空间依据自然生态特征分为以水体为主的河流、湖泊等水域空间，行蓄洪等涉水生态空间，以水陆交错为主的岸线空间，以及水域涵养、饮用水水源保护、水土保持等涉水陆域空间等。</w:t>
      </w:r>
    </w:p>
    <w:p w14:paraId="1C52558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（1）规模以上河流</w:t>
      </w:r>
    </w:p>
    <w:p w14:paraId="66CF040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1）规模以上河流</w:t>
      </w:r>
    </w:p>
    <w:p w14:paraId="3278C05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kern w:val="0"/>
          <w:sz w:val="28"/>
          <w:szCs w:val="28"/>
        </w:rPr>
      </w:pPr>
      <w:r>
        <w:rPr>
          <w:rFonts w:hint="eastAsia" w:ascii="Times New Roman" w:hAnsi="Times New Roman" w:eastAsia="宋体" w:cs="Times New Roman"/>
          <w:kern w:val="0"/>
          <w:sz w:val="28"/>
          <w:szCs w:val="28"/>
          <w:lang w:val="en-US" w:eastAsia="zh-CN"/>
        </w:rPr>
        <w:t>泽州</w:t>
      </w:r>
      <w:r>
        <w:rPr>
          <w:rFonts w:hint="default" w:ascii="Times New Roman" w:hAnsi="Times New Roman" w:eastAsia="宋体" w:cs="Times New Roman"/>
          <w:kern w:val="0"/>
          <w:sz w:val="28"/>
          <w:szCs w:val="28"/>
        </w:rPr>
        <w:t>县</w:t>
      </w:r>
      <w:r>
        <w:rPr>
          <w:rFonts w:hint="eastAsia" w:ascii="Times New Roman" w:hAnsi="Times New Roman" w:eastAsia="宋体" w:cs="Times New Roman"/>
          <w:kern w:val="0"/>
          <w:sz w:val="28"/>
          <w:szCs w:val="28"/>
          <w:lang w:val="en-US" w:eastAsia="zh-CN"/>
        </w:rPr>
        <w:t>境内</w:t>
      </w:r>
      <w:r>
        <w:rPr>
          <w:rFonts w:hint="default" w:ascii="Times New Roman" w:hAnsi="Times New Roman" w:eastAsia="宋体" w:cs="Times New Roman"/>
          <w:kern w:val="0"/>
          <w:sz w:val="28"/>
          <w:szCs w:val="28"/>
        </w:rPr>
        <w:t>河流众多，</w:t>
      </w:r>
      <w:r>
        <w:rPr>
          <w:rFonts w:hint="eastAsia" w:eastAsia="宋体" w:cs="Times New Roman"/>
          <w:snapToGrid w:val="0"/>
          <w:kern w:val="0"/>
          <w:sz w:val="28"/>
          <w:szCs w:val="28"/>
          <w:lang w:val="en-US" w:eastAsia="zh-CN"/>
        </w:rPr>
        <w:t>主要河流有沁河、丹河、长河、白水河、白洋泉河、东大河、卫河、北石店河、巴公河、大阳河、白涧河、大箕河、犁川河、</w:t>
      </w:r>
      <w:r>
        <w:rPr>
          <w:rFonts w:hint="eastAsia" w:eastAsia="宋体" w:cs="Times New Roman"/>
          <w:sz w:val="28"/>
          <w:szCs w:val="28"/>
          <w:highlight w:val="none"/>
          <w:lang w:val="en-US" w:eastAsia="zh-CN"/>
        </w:rPr>
        <w:t>南村</w:t>
      </w:r>
      <w:r>
        <w:rPr>
          <w:rFonts w:hint="default" w:ascii="Times New Roman" w:hAnsi="Times New Roman" w:eastAsia="宋体" w:cs="Times New Roman"/>
          <w:sz w:val="28"/>
          <w:szCs w:val="28"/>
          <w:highlight w:val="none"/>
          <w:lang w:val="en-US" w:eastAsia="zh-CN"/>
        </w:rPr>
        <w:t>河</w:t>
      </w:r>
      <w:r>
        <w:rPr>
          <w:rFonts w:hint="eastAsia" w:eastAsia="宋体" w:cs="Times New Roman"/>
          <w:sz w:val="28"/>
          <w:szCs w:val="28"/>
          <w:highlight w:val="none"/>
          <w:lang w:val="en-US" w:eastAsia="zh-CN"/>
        </w:rPr>
        <w:t>、仙神河、逍遥石河、冶底河、郑村河</w:t>
      </w:r>
      <w:r>
        <w:rPr>
          <w:rFonts w:hint="eastAsia" w:eastAsia="宋体" w:cs="Times New Roman"/>
          <w:snapToGrid w:val="0"/>
          <w:kern w:val="0"/>
          <w:sz w:val="28"/>
          <w:szCs w:val="28"/>
          <w:lang w:val="en-US" w:eastAsia="zh-CN"/>
        </w:rPr>
        <w:t>等。</w:t>
      </w:r>
      <w:r>
        <w:rPr>
          <w:rFonts w:hint="default" w:ascii="Times New Roman" w:hAnsi="Times New Roman" w:eastAsia="宋体" w:cs="Times New Roman"/>
          <w:kern w:val="0"/>
          <w:sz w:val="28"/>
          <w:szCs w:val="28"/>
        </w:rPr>
        <w:t>境内河流分属</w:t>
      </w:r>
      <w:r>
        <w:rPr>
          <w:rFonts w:hint="eastAsia" w:ascii="Times New Roman" w:hAnsi="Times New Roman" w:eastAsia="宋体" w:cs="Times New Roman"/>
          <w:kern w:val="0"/>
          <w:sz w:val="28"/>
          <w:szCs w:val="28"/>
          <w:lang w:val="en-US" w:eastAsia="zh-CN"/>
        </w:rPr>
        <w:t>黄</w:t>
      </w:r>
      <w:r>
        <w:rPr>
          <w:rFonts w:hint="default" w:ascii="Times New Roman" w:hAnsi="Times New Roman" w:eastAsia="宋体" w:cs="Times New Roman"/>
          <w:kern w:val="0"/>
          <w:sz w:val="28"/>
          <w:szCs w:val="28"/>
        </w:rPr>
        <w:t>河和</w:t>
      </w:r>
      <w:r>
        <w:rPr>
          <w:rFonts w:hint="eastAsia" w:ascii="Times New Roman" w:hAnsi="Times New Roman" w:eastAsia="宋体" w:cs="Times New Roman"/>
          <w:kern w:val="0"/>
          <w:sz w:val="28"/>
          <w:szCs w:val="28"/>
          <w:lang w:val="en-US" w:eastAsia="zh-CN"/>
        </w:rPr>
        <w:t>海</w:t>
      </w:r>
      <w:r>
        <w:rPr>
          <w:rFonts w:hint="default" w:ascii="Times New Roman" w:hAnsi="Times New Roman" w:eastAsia="宋体" w:cs="Times New Roman"/>
          <w:kern w:val="0"/>
          <w:sz w:val="28"/>
          <w:szCs w:val="28"/>
        </w:rPr>
        <w:t>河两大</w:t>
      </w:r>
      <w:r>
        <w:rPr>
          <w:rFonts w:hint="eastAsia" w:ascii="Times New Roman" w:hAnsi="Times New Roman" w:eastAsia="宋体" w:cs="Times New Roman"/>
          <w:kern w:val="0"/>
          <w:sz w:val="28"/>
          <w:szCs w:val="28"/>
          <w:lang w:val="en-US" w:eastAsia="zh-CN"/>
        </w:rPr>
        <w:t>流域</w:t>
      </w:r>
      <w:r>
        <w:rPr>
          <w:rFonts w:hint="default" w:ascii="Times New Roman" w:hAnsi="Times New Roman" w:eastAsia="宋体" w:cs="Times New Roman"/>
          <w:kern w:val="0"/>
          <w:sz w:val="28"/>
          <w:szCs w:val="28"/>
        </w:rPr>
        <w:t>，属于</w:t>
      </w:r>
      <w:r>
        <w:rPr>
          <w:rFonts w:hint="eastAsia" w:ascii="Times New Roman" w:hAnsi="Times New Roman" w:eastAsia="宋体" w:cs="Times New Roman"/>
          <w:kern w:val="0"/>
          <w:sz w:val="28"/>
          <w:szCs w:val="28"/>
          <w:lang w:val="en-US" w:eastAsia="zh-CN"/>
        </w:rPr>
        <w:t>海</w:t>
      </w:r>
      <w:r>
        <w:rPr>
          <w:rFonts w:hint="default" w:ascii="Times New Roman" w:hAnsi="Times New Roman" w:eastAsia="宋体" w:cs="Times New Roman"/>
          <w:kern w:val="0"/>
          <w:sz w:val="28"/>
          <w:szCs w:val="28"/>
        </w:rPr>
        <w:t>河</w:t>
      </w:r>
      <w:r>
        <w:rPr>
          <w:rFonts w:hint="eastAsia" w:ascii="Times New Roman" w:hAnsi="Times New Roman" w:eastAsia="宋体" w:cs="Times New Roman"/>
          <w:kern w:val="0"/>
          <w:sz w:val="28"/>
          <w:szCs w:val="28"/>
          <w:lang w:val="en-US" w:eastAsia="zh-CN"/>
        </w:rPr>
        <w:t>流域的主要为卫河</w:t>
      </w:r>
      <w:r>
        <w:rPr>
          <w:rFonts w:hint="default" w:ascii="Times New Roman" w:hAnsi="Times New Roman" w:eastAsia="宋体" w:cs="Times New Roman"/>
          <w:kern w:val="0"/>
          <w:sz w:val="28"/>
          <w:szCs w:val="28"/>
        </w:rPr>
        <w:t>；</w:t>
      </w:r>
      <w:r>
        <w:rPr>
          <w:rFonts w:hint="eastAsia" w:ascii="Times New Roman" w:hAnsi="Times New Roman" w:eastAsia="宋体" w:cs="Times New Roman"/>
          <w:kern w:val="0"/>
          <w:sz w:val="28"/>
          <w:szCs w:val="28"/>
          <w:lang w:val="en-US" w:eastAsia="zh-CN"/>
        </w:rPr>
        <w:t>其余河道均</w:t>
      </w:r>
      <w:r>
        <w:rPr>
          <w:rFonts w:hint="default" w:ascii="Times New Roman" w:hAnsi="Times New Roman" w:eastAsia="宋体" w:cs="Times New Roman"/>
          <w:kern w:val="0"/>
          <w:sz w:val="28"/>
          <w:szCs w:val="28"/>
        </w:rPr>
        <w:t>属于</w:t>
      </w:r>
      <w:r>
        <w:rPr>
          <w:rFonts w:hint="eastAsia" w:ascii="Times New Roman" w:hAnsi="Times New Roman" w:eastAsia="宋体" w:cs="Times New Roman"/>
          <w:kern w:val="0"/>
          <w:sz w:val="28"/>
          <w:szCs w:val="28"/>
          <w:lang w:val="en-US" w:eastAsia="zh-CN"/>
        </w:rPr>
        <w:t>黄</w:t>
      </w:r>
      <w:r>
        <w:rPr>
          <w:rFonts w:hint="default" w:ascii="Times New Roman" w:hAnsi="Times New Roman" w:eastAsia="宋体" w:cs="Times New Roman"/>
          <w:kern w:val="0"/>
          <w:sz w:val="28"/>
          <w:szCs w:val="28"/>
        </w:rPr>
        <w:t>河</w:t>
      </w:r>
      <w:r>
        <w:rPr>
          <w:rFonts w:hint="eastAsia" w:ascii="Times New Roman" w:hAnsi="Times New Roman" w:eastAsia="宋体" w:cs="Times New Roman"/>
          <w:kern w:val="0"/>
          <w:sz w:val="28"/>
          <w:szCs w:val="28"/>
          <w:lang w:val="en-US" w:eastAsia="zh-CN"/>
        </w:rPr>
        <w:t>流域沁河水系</w:t>
      </w:r>
      <w:r>
        <w:rPr>
          <w:rFonts w:hint="default" w:ascii="Times New Roman" w:hAnsi="Times New Roman" w:eastAsia="宋体" w:cs="Times New Roman"/>
          <w:kern w:val="0"/>
          <w:sz w:val="28"/>
          <w:szCs w:val="28"/>
        </w:rPr>
        <w:t>。</w:t>
      </w:r>
    </w:p>
    <w:p w14:paraId="15F5A19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2）河湖划界进展</w:t>
      </w:r>
    </w:p>
    <w:p w14:paraId="15CB45A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b w:val="0"/>
          <w:bCs w:val="0"/>
          <w:color w:val="auto"/>
          <w:kern w:val="2"/>
          <w:sz w:val="28"/>
          <w:szCs w:val="36"/>
          <w:lang w:val="en-US" w:eastAsia="zh-CN" w:bidi="ar-SA"/>
        </w:rPr>
      </w:pPr>
      <w:r>
        <w:rPr>
          <w:rFonts w:hint="default" w:ascii="Times New Roman" w:hAnsi="Times New Roman" w:cs="Times New Roman" w:eastAsiaTheme="minorEastAsia"/>
          <w:sz w:val="28"/>
          <w:szCs w:val="28"/>
        </w:rPr>
        <w:t>河湖划界确权按照尊重</w:t>
      </w:r>
      <w:r>
        <w:rPr>
          <w:rFonts w:hint="default" w:ascii="Times New Roman" w:hAnsi="Times New Roman" w:cs="Times New Roman" w:eastAsiaTheme="minorEastAsia"/>
          <w:sz w:val="28"/>
          <w:szCs w:val="28"/>
          <w:shd w:val="clear" w:color="auto" w:fill="FFFFFF" w:themeFill="background1"/>
        </w:rPr>
        <w:t>历史、考虑现实、积极协商、依法进行划界，目前，</w:t>
      </w:r>
      <w:r>
        <w:rPr>
          <w:rFonts w:hint="default" w:ascii="Times New Roman" w:hAnsi="Times New Roman" w:cs="Times New Roman" w:eastAsiaTheme="minorEastAsia"/>
          <w:sz w:val="28"/>
          <w:szCs w:val="28"/>
          <w:lang w:val="en-US" w:eastAsia="zh-CN"/>
        </w:rPr>
        <w:t>50km²以上的</w:t>
      </w:r>
      <w:r>
        <w:rPr>
          <w:rFonts w:hint="default" w:ascii="Times New Roman" w:hAnsi="Times New Roman" w:cs="Times New Roman" w:eastAsiaTheme="minorEastAsia"/>
          <w:sz w:val="28"/>
          <w:szCs w:val="28"/>
        </w:rPr>
        <w:t>河流治导线和管理范围已划定，并通过审查，</w:t>
      </w:r>
      <w:r>
        <w:rPr>
          <w:rFonts w:hint="default" w:ascii="Times New Roman" w:hAnsi="Times New Roman" w:eastAsia="宋体" w:cs="Times New Roman"/>
          <w:b w:val="0"/>
          <w:bCs w:val="0"/>
          <w:color w:val="auto"/>
          <w:kern w:val="2"/>
          <w:sz w:val="28"/>
          <w:szCs w:val="36"/>
          <w:lang w:val="en-US" w:eastAsia="zh-CN" w:bidi="ar-SA"/>
        </w:rPr>
        <w:t>但管理范围尚未完成确权。</w:t>
      </w:r>
      <w:r>
        <w:rPr>
          <w:rFonts w:hint="eastAsia" w:eastAsia="宋体" w:cs="Times New Roman"/>
          <w:b w:val="0"/>
          <w:bCs w:val="0"/>
          <w:color w:val="auto"/>
          <w:kern w:val="2"/>
          <w:sz w:val="28"/>
          <w:szCs w:val="36"/>
          <w:lang w:val="en-US" w:eastAsia="zh-CN" w:bidi="ar-SA"/>
        </w:rPr>
        <w:t>河流岸线保护与利用规划已完成。</w:t>
      </w:r>
    </w:p>
    <w:p w14:paraId="1C69DC1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（2）饮用水水源地保护区</w:t>
      </w:r>
    </w:p>
    <w:p w14:paraId="4E51613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泽州县有省人民政府批复的水源地保护区18处，分别为南村镇集中供水水源地、下村镇集中供水水源地、大东沟镇集中供水水源地、周村镇集中供水水源地、犁川镇集中供水水源地、晋庙铺镇东冻水源地、金村镇集中供水水源地、高都镇任庄水源地、巴公二村集中供水水源地、巴公一村集中供水水源地、大阳镇集中供水水源地、山河镇道宝河水源地、大箕镇集中供水水源地、柳树口镇玛琅水源地、北义城镇集中供水水源地、川底集中供水水源地、李寨集中供水水源地、南岭集中供水水源地。</w:t>
      </w:r>
    </w:p>
    <w:p w14:paraId="4F768F2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其余水源地暂无资料，本次规划暂不进行统计。</w:t>
      </w:r>
    </w:p>
    <w:p w14:paraId="790C064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eastAsia" w:cs="Times New Roman" w:eastAsiaTheme="minorEastAsia"/>
          <w:sz w:val="28"/>
          <w:szCs w:val="28"/>
          <w:highlight w:val="none"/>
          <w:lang w:val="en-US" w:eastAsia="zh-CN"/>
        </w:rPr>
      </w:pPr>
      <w:r>
        <w:rPr>
          <w:rFonts w:hint="eastAsia" w:ascii="Times New Roman" w:hAnsi="Times New Roman" w:cs="Times New Roman" w:eastAsiaTheme="minorEastAsia"/>
          <w:kern w:val="2"/>
          <w:sz w:val="28"/>
          <w:szCs w:val="28"/>
          <w:lang w:val="en-US" w:eastAsia="zh-CN" w:bidi="ar-SA"/>
        </w:rPr>
        <w:t>（3）</w:t>
      </w:r>
      <w:r>
        <w:rPr>
          <w:rFonts w:hint="eastAsia" w:cs="Times New Roman" w:eastAsiaTheme="minorEastAsia"/>
          <w:sz w:val="28"/>
          <w:szCs w:val="28"/>
          <w:highlight w:val="none"/>
          <w:lang w:val="en-US" w:eastAsia="zh-CN"/>
        </w:rPr>
        <w:t>水库工程</w:t>
      </w:r>
    </w:p>
    <w:p w14:paraId="23B66A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cs="Times New Roman" w:eastAsiaTheme="minorEastAsia"/>
          <w:sz w:val="28"/>
          <w:szCs w:val="28"/>
          <w:highlight w:val="none"/>
          <w:lang w:val="en-US" w:eastAsia="zh-CN"/>
        </w:rPr>
      </w:pPr>
      <w:r>
        <w:rPr>
          <w:rFonts w:hint="default" w:cs="Times New Roman" w:eastAsiaTheme="minorEastAsia"/>
          <w:sz w:val="28"/>
          <w:szCs w:val="28"/>
          <w:highlight w:val="none"/>
          <w:lang w:val="en-US" w:eastAsia="zh-CN"/>
        </w:rPr>
        <w:t>全县境内共有</w:t>
      </w:r>
      <w:r>
        <w:rPr>
          <w:rFonts w:hint="eastAsia" w:cs="Times New Roman" w:eastAsiaTheme="minorEastAsia"/>
          <w:sz w:val="28"/>
          <w:szCs w:val="28"/>
          <w:highlight w:val="none"/>
          <w:lang w:val="en-US" w:eastAsia="zh-CN"/>
        </w:rPr>
        <w:t>22</w:t>
      </w:r>
      <w:r>
        <w:rPr>
          <w:rFonts w:hint="default" w:cs="Times New Roman" w:eastAsiaTheme="minorEastAsia"/>
          <w:sz w:val="28"/>
          <w:szCs w:val="28"/>
          <w:highlight w:val="none"/>
          <w:lang w:val="en-US" w:eastAsia="zh-CN"/>
        </w:rPr>
        <w:t>座水库全部进行了大坝注册登记管理，其中：中型水库3座（杜河、东焦河水库由市水务局管理），小（</w:t>
      </w:r>
      <w:r>
        <w:rPr>
          <w:rFonts w:hint="eastAsia" w:cs="Times New Roman" w:eastAsiaTheme="minorEastAsia"/>
          <w:sz w:val="28"/>
          <w:szCs w:val="28"/>
          <w:highlight w:val="none"/>
          <w:lang w:val="en-US" w:eastAsia="zh-CN"/>
        </w:rPr>
        <w:t>1</w:t>
      </w:r>
      <w:r>
        <w:rPr>
          <w:rFonts w:hint="default" w:cs="Times New Roman" w:eastAsiaTheme="minorEastAsia"/>
          <w:sz w:val="28"/>
          <w:szCs w:val="28"/>
          <w:highlight w:val="none"/>
          <w:lang w:val="en-US" w:eastAsia="zh-CN"/>
        </w:rPr>
        <w:t>）型水库11座，小（</w:t>
      </w:r>
      <w:r>
        <w:rPr>
          <w:rFonts w:hint="eastAsia" w:cs="Times New Roman" w:eastAsiaTheme="minorEastAsia"/>
          <w:sz w:val="28"/>
          <w:szCs w:val="28"/>
          <w:highlight w:val="none"/>
          <w:lang w:val="en-US" w:eastAsia="zh-CN"/>
        </w:rPr>
        <w:t>2</w:t>
      </w:r>
      <w:r>
        <w:rPr>
          <w:rFonts w:hint="default" w:cs="Times New Roman" w:eastAsiaTheme="minorEastAsia"/>
          <w:sz w:val="28"/>
          <w:szCs w:val="28"/>
          <w:highlight w:val="none"/>
          <w:lang w:val="en-US" w:eastAsia="zh-CN"/>
        </w:rPr>
        <w:t>）型水库</w:t>
      </w:r>
      <w:r>
        <w:rPr>
          <w:rFonts w:hint="eastAsia" w:cs="Times New Roman" w:eastAsiaTheme="minorEastAsia"/>
          <w:sz w:val="28"/>
          <w:szCs w:val="28"/>
          <w:highlight w:val="none"/>
          <w:lang w:val="en-US" w:eastAsia="zh-CN"/>
        </w:rPr>
        <w:t>8</w:t>
      </w:r>
      <w:r>
        <w:rPr>
          <w:rFonts w:hint="default" w:cs="Times New Roman" w:eastAsiaTheme="minorEastAsia"/>
          <w:sz w:val="28"/>
          <w:szCs w:val="28"/>
          <w:highlight w:val="none"/>
          <w:lang w:val="en-US" w:eastAsia="zh-CN"/>
        </w:rPr>
        <w:t>座。</w:t>
      </w:r>
      <w:r>
        <w:rPr>
          <w:rFonts w:hint="eastAsia" w:cs="Times New Roman" w:eastAsiaTheme="minorEastAsia"/>
          <w:sz w:val="28"/>
          <w:szCs w:val="28"/>
          <w:highlight w:val="none"/>
          <w:lang w:val="en-US" w:eastAsia="zh-CN"/>
        </w:rPr>
        <w:t>已全部</w:t>
      </w:r>
      <w:r>
        <w:rPr>
          <w:rFonts w:hint="default" w:cs="Times New Roman" w:eastAsiaTheme="minorEastAsia"/>
          <w:sz w:val="28"/>
          <w:szCs w:val="28"/>
          <w:highlight w:val="none"/>
          <w:lang w:val="en-US" w:eastAsia="zh-CN"/>
        </w:rPr>
        <w:t>完成安全鉴定和确权划界报告编制，完成任庄中型水库和11座小（</w:t>
      </w:r>
      <w:r>
        <w:rPr>
          <w:rFonts w:hint="eastAsia" w:cs="Times New Roman" w:eastAsiaTheme="minorEastAsia"/>
          <w:sz w:val="28"/>
          <w:szCs w:val="28"/>
          <w:highlight w:val="none"/>
          <w:lang w:val="en-US" w:eastAsia="zh-CN"/>
        </w:rPr>
        <w:t>1</w:t>
      </w:r>
      <w:r>
        <w:rPr>
          <w:rFonts w:hint="default" w:cs="Times New Roman" w:eastAsiaTheme="minorEastAsia"/>
          <w:sz w:val="28"/>
          <w:szCs w:val="28"/>
          <w:highlight w:val="none"/>
          <w:lang w:val="en-US" w:eastAsia="zh-CN"/>
        </w:rPr>
        <w:t>）型水库的标准化建设，由县水务局成立丹河、长河河库管理站对18座小型水库进行统一管理</w:t>
      </w:r>
      <w:r>
        <w:rPr>
          <w:rFonts w:hint="eastAsia" w:cs="Times New Roman" w:eastAsiaTheme="minorEastAsia"/>
          <w:sz w:val="28"/>
          <w:szCs w:val="28"/>
          <w:highlight w:val="none"/>
          <w:lang w:val="en-US" w:eastAsia="zh-CN"/>
        </w:rPr>
        <w:t>。</w:t>
      </w:r>
    </w:p>
    <w:p w14:paraId="42119151">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default" w:ascii="Times New Roman" w:hAnsi="Times New Roman" w:eastAsia="宋体"/>
          <w:lang w:val="en-US" w:eastAsia="zh-CN"/>
        </w:rPr>
      </w:pPr>
      <w:bookmarkStart w:id="19" w:name="_Toc36060035"/>
      <w:r>
        <w:rPr>
          <w:rFonts w:hint="eastAsia" w:ascii="Times New Roman" w:hAnsi="Times New Roman" w:eastAsia="宋体"/>
          <w:lang w:val="en-US" w:eastAsia="zh-CN"/>
        </w:rPr>
        <w:t>1.3.2</w:t>
      </w:r>
      <w:r>
        <w:rPr>
          <w:rFonts w:hint="default" w:ascii="Times New Roman" w:hAnsi="Times New Roman" w:eastAsia="宋体"/>
          <w:lang w:val="en-US" w:eastAsia="zh-CN"/>
        </w:rPr>
        <w:t>水资源配置体系建设状况</w:t>
      </w:r>
      <w:bookmarkEnd w:id="19"/>
    </w:p>
    <w:p w14:paraId="6B2452B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根据201</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-20</w:t>
      </w:r>
      <w:r>
        <w:rPr>
          <w:rFonts w:hint="default" w:ascii="Times New Roman" w:hAnsi="Times New Roman" w:eastAsia="宋体" w:cs="Times New Roman"/>
          <w:sz w:val="28"/>
          <w:szCs w:val="28"/>
          <w:lang w:val="en-US" w:eastAsia="zh-CN"/>
        </w:rPr>
        <w:t>20</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eastAsia="zh-CN"/>
        </w:rPr>
        <w:t>晋城市</w:t>
      </w:r>
      <w:r>
        <w:rPr>
          <w:rFonts w:hint="default" w:ascii="Times New Roman" w:hAnsi="Times New Roman" w:eastAsia="宋体" w:cs="Times New Roman"/>
          <w:sz w:val="28"/>
          <w:szCs w:val="28"/>
        </w:rPr>
        <w:t>水资源公报》成果，</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近三年水资源总量分别为：</w:t>
      </w:r>
      <w:r>
        <w:rPr>
          <w:rFonts w:hint="eastAsia" w:eastAsia="宋体" w:cs="Times New Roman"/>
          <w:sz w:val="28"/>
          <w:szCs w:val="28"/>
          <w:lang w:val="en-US" w:eastAsia="zh-CN"/>
        </w:rPr>
        <w:t>2.9089</w:t>
      </w:r>
      <w:r>
        <w:rPr>
          <w:rFonts w:hint="default" w:ascii="Times New Roman" w:hAnsi="Times New Roman" w:cs="Times New Roman"/>
          <w:sz w:val="28"/>
          <w:szCs w:val="28"/>
        </w:rPr>
        <w:t>亿m</w:t>
      </w:r>
      <w:r>
        <w:rPr>
          <w:rFonts w:hint="default" w:ascii="Times New Roman" w:hAnsi="Times New Roman" w:cs="Times New Roman"/>
          <w:sz w:val="28"/>
          <w:szCs w:val="28"/>
          <w:vertAlign w:val="superscript"/>
        </w:rPr>
        <w:t>3</w:t>
      </w:r>
      <w:r>
        <w:rPr>
          <w:rFonts w:hint="default" w:ascii="Times New Roman" w:hAnsi="Times New Roman" w:eastAsia="宋体" w:cs="Times New Roman"/>
          <w:sz w:val="28"/>
          <w:szCs w:val="28"/>
        </w:rPr>
        <w:t>，</w:t>
      </w:r>
      <w:r>
        <w:rPr>
          <w:rFonts w:hint="eastAsia" w:eastAsia="宋体" w:cs="Times New Roman"/>
          <w:sz w:val="28"/>
          <w:szCs w:val="28"/>
          <w:lang w:val="en-US" w:eastAsia="zh-CN"/>
        </w:rPr>
        <w:t>2.2698</w:t>
      </w:r>
      <w:r>
        <w:rPr>
          <w:rFonts w:hint="default" w:ascii="Times New Roman" w:hAnsi="Times New Roman" w:eastAsia="宋体" w:cs="Times New Roman"/>
          <w:sz w:val="28"/>
          <w:szCs w:val="28"/>
          <w:lang w:val="en-US" w:eastAsia="zh-CN"/>
        </w:rPr>
        <w:t>亿</w:t>
      </w:r>
      <w:r>
        <w:rPr>
          <w:rFonts w:hint="default" w:ascii="Times New Roman" w:hAnsi="Times New Roman" w:cs="Times New Roman"/>
          <w:sz w:val="28"/>
          <w:szCs w:val="28"/>
        </w:rPr>
        <w:t>m</w:t>
      </w:r>
      <w:r>
        <w:rPr>
          <w:rFonts w:hint="default" w:ascii="Times New Roman" w:hAnsi="Times New Roman" w:cs="Times New Roman"/>
          <w:sz w:val="28"/>
          <w:szCs w:val="28"/>
          <w:vertAlign w:val="superscript"/>
        </w:rPr>
        <w:t>3</w:t>
      </w:r>
      <w:r>
        <w:rPr>
          <w:rFonts w:hint="default" w:ascii="Times New Roman" w:hAnsi="Times New Roman" w:cs="Times New Roman"/>
          <w:sz w:val="28"/>
          <w:szCs w:val="28"/>
          <w:lang w:val="en-US" w:eastAsia="zh-CN"/>
        </w:rPr>
        <w:t>，</w:t>
      </w:r>
      <w:r>
        <w:rPr>
          <w:rFonts w:hint="eastAsia" w:cs="Times New Roman"/>
          <w:sz w:val="28"/>
          <w:szCs w:val="28"/>
          <w:lang w:val="en-US" w:eastAsia="zh-CN"/>
        </w:rPr>
        <w:t>2.1173</w:t>
      </w:r>
      <w:r>
        <w:rPr>
          <w:rFonts w:hint="default" w:ascii="Times New Roman" w:hAnsi="Times New Roman" w:eastAsia="宋体" w:cs="Times New Roman"/>
          <w:sz w:val="28"/>
          <w:szCs w:val="28"/>
        </w:rPr>
        <w:t>亿m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，水资源总量受降水影响</w:t>
      </w:r>
      <w:r>
        <w:rPr>
          <w:rFonts w:hint="eastAsia" w:eastAsia="宋体" w:cs="Times New Roman"/>
          <w:sz w:val="28"/>
          <w:szCs w:val="28"/>
          <w:lang w:eastAsia="zh-CN"/>
        </w:rPr>
        <w:t>，</w:t>
      </w:r>
      <w:r>
        <w:rPr>
          <w:rFonts w:hint="eastAsia" w:eastAsia="宋体" w:cs="Times New Roman"/>
          <w:sz w:val="28"/>
          <w:szCs w:val="28"/>
          <w:lang w:val="en-US" w:eastAsia="zh-CN"/>
        </w:rPr>
        <w:t>整体呈下降</w:t>
      </w:r>
      <w:r>
        <w:rPr>
          <w:rFonts w:hint="default" w:ascii="Times New Roman" w:hAnsi="Times New Roman" w:eastAsia="宋体" w:cs="Times New Roman"/>
          <w:sz w:val="28"/>
          <w:szCs w:val="28"/>
        </w:rPr>
        <w:t>趋势。</w:t>
      </w:r>
    </w:p>
    <w:p w14:paraId="2F3F3C7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eastAsia="zh-CN"/>
        </w:rPr>
      </w:pPr>
      <w:r>
        <w:rPr>
          <w:rFonts w:hint="default" w:ascii="Times New Roman" w:hAnsi="Times New Roman" w:eastAsia="宋体" w:cs="Times New Roman"/>
          <w:sz w:val="28"/>
          <w:szCs w:val="28"/>
        </w:rPr>
        <w:t>根据</w:t>
      </w:r>
      <w:r>
        <w:rPr>
          <w:rFonts w:hint="default" w:ascii="Times New Roman" w:hAnsi="Times New Roman" w:eastAsia="宋体" w:cs="Times New Roman"/>
          <w:sz w:val="28"/>
          <w:szCs w:val="28"/>
          <w:lang w:val="en-US" w:eastAsia="zh-CN"/>
        </w:rPr>
        <w:t>2020</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eastAsia="zh-CN"/>
        </w:rPr>
        <w:t>晋城市</w:t>
      </w:r>
      <w:r>
        <w:rPr>
          <w:rFonts w:hint="default" w:ascii="Times New Roman" w:hAnsi="Times New Roman" w:eastAsia="宋体" w:cs="Times New Roman"/>
          <w:sz w:val="28"/>
          <w:szCs w:val="28"/>
        </w:rPr>
        <w:t>水资源公报》成果，</w:t>
      </w:r>
      <w:r>
        <w:rPr>
          <w:rFonts w:hint="default" w:ascii="Times New Roman" w:hAnsi="Times New Roman" w:eastAsia="宋体" w:cs="Times New Roman"/>
          <w:sz w:val="28"/>
          <w:szCs w:val="28"/>
          <w:highlight w:val="none"/>
        </w:rPr>
        <w:t>全</w:t>
      </w:r>
      <w:r>
        <w:rPr>
          <w:rFonts w:hint="default" w:ascii="Times New Roman" w:hAnsi="Times New Roman" w:eastAsia="宋体" w:cs="Times New Roman"/>
          <w:sz w:val="28"/>
          <w:szCs w:val="28"/>
          <w:highlight w:val="none"/>
          <w:lang w:eastAsia="zh-CN"/>
        </w:rPr>
        <w:t>县用水总</w:t>
      </w:r>
      <w:r>
        <w:rPr>
          <w:rFonts w:hint="default" w:ascii="Times New Roman" w:hAnsi="Times New Roman" w:eastAsia="宋体" w:cs="Times New Roman"/>
          <w:sz w:val="28"/>
          <w:szCs w:val="28"/>
          <w:highlight w:val="none"/>
        </w:rPr>
        <w:t>量</w:t>
      </w:r>
      <w:r>
        <w:rPr>
          <w:rFonts w:hint="eastAsia" w:eastAsia="宋体" w:cs="Times New Roman"/>
          <w:sz w:val="28"/>
          <w:szCs w:val="28"/>
          <w:highlight w:val="none"/>
          <w:lang w:val="en-US" w:eastAsia="zh-CN"/>
        </w:rPr>
        <w:t>10675</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highlight w:val="none"/>
        </w:rPr>
        <w:t>，其中地表水供水量</w:t>
      </w:r>
      <w:r>
        <w:rPr>
          <w:rFonts w:hint="eastAsia" w:eastAsia="宋体" w:cs="Times New Roman"/>
          <w:sz w:val="28"/>
          <w:szCs w:val="28"/>
          <w:highlight w:val="none"/>
          <w:lang w:val="en-US" w:eastAsia="zh-CN"/>
        </w:rPr>
        <w:t>6643.30</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highlight w:val="none"/>
        </w:rPr>
        <w:t>，地下水供水量</w:t>
      </w:r>
      <w:r>
        <w:rPr>
          <w:rFonts w:hint="eastAsia" w:eastAsia="宋体" w:cs="Times New Roman"/>
          <w:sz w:val="28"/>
          <w:szCs w:val="28"/>
          <w:highlight w:val="none"/>
          <w:lang w:val="en-US" w:eastAsia="zh-CN"/>
        </w:rPr>
        <w:t>3741.0</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highlight w:val="none"/>
        </w:rPr>
        <w:t>，其他水源工程供水量</w:t>
      </w:r>
      <w:r>
        <w:rPr>
          <w:rFonts w:hint="eastAsia" w:eastAsia="宋体" w:cs="Times New Roman"/>
          <w:sz w:val="28"/>
          <w:szCs w:val="28"/>
          <w:highlight w:val="none"/>
          <w:lang w:val="en-US" w:eastAsia="zh-CN"/>
        </w:rPr>
        <w:t>290.70</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highlight w:val="none"/>
        </w:rPr>
        <w:t>m</w:t>
      </w:r>
      <w:r>
        <w:rPr>
          <w:rFonts w:hint="default" w:ascii="Times New Roman" w:hAnsi="Times New Roman" w:eastAsia="宋体" w:cs="Times New Roman"/>
          <w:sz w:val="28"/>
          <w:szCs w:val="28"/>
          <w:highlight w:val="none"/>
          <w:vertAlign w:val="superscript"/>
        </w:rPr>
        <w:t>3</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全</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总用水量</w:t>
      </w:r>
      <w:r>
        <w:rPr>
          <w:rFonts w:hint="eastAsia" w:eastAsia="宋体" w:cs="Times New Roman"/>
          <w:sz w:val="28"/>
          <w:szCs w:val="28"/>
          <w:highlight w:val="none"/>
          <w:lang w:val="en-US" w:eastAsia="zh-CN"/>
        </w:rPr>
        <w:t>10675</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，其中</w:t>
      </w:r>
      <w:r>
        <w:rPr>
          <w:rFonts w:hint="default" w:ascii="Times New Roman" w:hAnsi="Times New Roman" w:eastAsia="宋体" w:cs="Times New Roman"/>
          <w:sz w:val="28"/>
          <w:szCs w:val="28"/>
          <w:lang w:eastAsia="zh-CN"/>
        </w:rPr>
        <w:t>城市生活</w:t>
      </w:r>
      <w:r>
        <w:rPr>
          <w:rFonts w:hint="eastAsia" w:eastAsia="宋体" w:cs="Times New Roman"/>
          <w:sz w:val="28"/>
          <w:szCs w:val="28"/>
          <w:lang w:val="en-US" w:eastAsia="zh-CN"/>
        </w:rPr>
        <w:t>662</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农村生活</w:t>
      </w:r>
      <w:r>
        <w:rPr>
          <w:rFonts w:hint="eastAsia" w:eastAsia="宋体" w:cs="Times New Roman"/>
          <w:sz w:val="28"/>
          <w:szCs w:val="28"/>
          <w:lang w:val="en-US" w:eastAsia="zh-CN"/>
        </w:rPr>
        <w:t>603</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，农</w:t>
      </w:r>
      <w:r>
        <w:rPr>
          <w:rFonts w:hint="default" w:ascii="Times New Roman" w:hAnsi="Times New Roman" w:eastAsia="宋体" w:cs="Times New Roman"/>
          <w:sz w:val="28"/>
          <w:szCs w:val="28"/>
          <w:lang w:eastAsia="zh-CN"/>
        </w:rPr>
        <w:t>田灌溉</w:t>
      </w:r>
      <w:r>
        <w:rPr>
          <w:rFonts w:hint="eastAsia" w:eastAsia="宋体" w:cs="Times New Roman"/>
          <w:sz w:val="28"/>
          <w:szCs w:val="28"/>
          <w:lang w:val="en-US" w:eastAsia="zh-CN"/>
        </w:rPr>
        <w:t>3452</w:t>
      </w:r>
      <w:r>
        <w:rPr>
          <w:rFonts w:hint="default" w:ascii="Times New Roman" w:hAnsi="Times New Roman" w:eastAsia="宋体" w:cs="Times New Roman"/>
          <w:sz w:val="28"/>
          <w:szCs w:val="28"/>
          <w:highlight w:val="none"/>
          <w:lang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林牧渔业</w:t>
      </w:r>
      <w:r>
        <w:rPr>
          <w:rFonts w:hint="default" w:ascii="Times New Roman" w:hAnsi="Times New Roman" w:eastAsia="宋体" w:cs="Times New Roman"/>
          <w:sz w:val="28"/>
          <w:szCs w:val="28"/>
        </w:rPr>
        <w:t>用水量</w:t>
      </w:r>
      <w:r>
        <w:rPr>
          <w:rFonts w:hint="eastAsia" w:eastAsia="宋体" w:cs="Times New Roman"/>
          <w:sz w:val="28"/>
          <w:szCs w:val="28"/>
          <w:lang w:val="en-US" w:eastAsia="zh-CN"/>
        </w:rPr>
        <w:t>760.75</w:t>
      </w:r>
      <w:r>
        <w:rPr>
          <w:rFonts w:hint="default"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工业</w:t>
      </w:r>
      <w:r>
        <w:rPr>
          <w:rFonts w:hint="default" w:ascii="Times New Roman" w:hAnsi="Times New Roman" w:eastAsia="宋体" w:cs="Times New Roman"/>
          <w:sz w:val="28"/>
          <w:szCs w:val="28"/>
        </w:rPr>
        <w:t>用水量</w:t>
      </w:r>
      <w:r>
        <w:rPr>
          <w:rFonts w:hint="eastAsia" w:eastAsia="宋体" w:cs="Times New Roman"/>
          <w:sz w:val="28"/>
          <w:szCs w:val="28"/>
          <w:lang w:val="en-US" w:eastAsia="zh-CN"/>
        </w:rPr>
        <w:t>4941.25</w:t>
      </w:r>
      <w:r>
        <w:rPr>
          <w:rFonts w:hint="default"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建筑业用</w:t>
      </w:r>
      <w:r>
        <w:rPr>
          <w:rFonts w:hint="default" w:ascii="Times New Roman" w:hAnsi="Times New Roman" w:eastAsia="宋体" w:cs="Times New Roman"/>
          <w:sz w:val="28"/>
          <w:szCs w:val="28"/>
        </w:rPr>
        <w:t>水量</w:t>
      </w:r>
      <w:r>
        <w:rPr>
          <w:rFonts w:hint="eastAsia" w:eastAsia="宋体" w:cs="Times New Roman"/>
          <w:sz w:val="28"/>
          <w:szCs w:val="28"/>
          <w:lang w:val="en-US" w:eastAsia="zh-CN"/>
        </w:rPr>
        <w:t>51</w:t>
      </w:r>
      <w:r>
        <w:rPr>
          <w:rFonts w:hint="default"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第三产业</w:t>
      </w:r>
      <w:r>
        <w:rPr>
          <w:rFonts w:hint="default" w:ascii="Times New Roman" w:hAnsi="Times New Roman" w:eastAsia="宋体" w:cs="Times New Roman"/>
          <w:sz w:val="28"/>
          <w:szCs w:val="28"/>
        </w:rPr>
        <w:t>用水量</w:t>
      </w:r>
      <w:r>
        <w:rPr>
          <w:rFonts w:hint="eastAsia" w:eastAsia="宋体" w:cs="Times New Roman"/>
          <w:sz w:val="28"/>
          <w:szCs w:val="28"/>
          <w:lang w:val="en-US" w:eastAsia="zh-CN"/>
        </w:rPr>
        <w:t>205</w:t>
      </w:r>
      <w:r>
        <w:rPr>
          <w:rFonts w:hint="default"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rPr>
        <w:t>m</w:t>
      </w:r>
      <w:r>
        <w:rPr>
          <w:rFonts w:hint="default" w:ascii="Times New Roman" w:hAnsi="Times New Roman" w:eastAsia="宋体" w:cs="Times New Roman"/>
          <w:sz w:val="28"/>
          <w:szCs w:val="28"/>
          <w:vertAlign w:val="superscript"/>
        </w:rPr>
        <w:t>3</w:t>
      </w:r>
      <w:r>
        <w:rPr>
          <w:rFonts w:hint="default" w:ascii="Times New Roman" w:hAnsi="Times New Roman" w:eastAsia="宋体" w:cs="Times New Roman"/>
          <w:sz w:val="28"/>
          <w:szCs w:val="28"/>
        </w:rPr>
        <w:t>。总供水量与总用水量</w:t>
      </w:r>
      <w:r>
        <w:rPr>
          <w:rFonts w:hint="default" w:ascii="Times New Roman" w:hAnsi="Times New Roman" w:eastAsia="宋体" w:cs="Times New Roman"/>
          <w:sz w:val="28"/>
          <w:szCs w:val="28"/>
          <w:lang w:eastAsia="zh-CN"/>
        </w:rPr>
        <w:t>持平。</w:t>
      </w:r>
    </w:p>
    <w:p w14:paraId="307A141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eastAsia"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各行业用水量以</w:t>
      </w:r>
      <w:r>
        <w:rPr>
          <w:rFonts w:hint="eastAsia" w:eastAsia="宋体" w:cs="Times New Roman"/>
          <w:sz w:val="28"/>
          <w:szCs w:val="28"/>
          <w:lang w:val="en-US" w:eastAsia="zh-CN"/>
        </w:rPr>
        <w:t>工业及</w:t>
      </w:r>
      <w:r>
        <w:rPr>
          <w:rFonts w:hint="default" w:ascii="Times New Roman" w:hAnsi="Times New Roman" w:eastAsia="宋体" w:cs="Times New Roman"/>
          <w:sz w:val="28"/>
          <w:szCs w:val="28"/>
        </w:rPr>
        <w:t>农业为主，</w:t>
      </w:r>
      <w:r>
        <w:rPr>
          <w:rFonts w:hint="default" w:ascii="Times New Roman" w:hAnsi="Times New Roman" w:eastAsia="宋体" w:cs="Times New Roman"/>
          <w:sz w:val="28"/>
          <w:szCs w:val="28"/>
          <w:lang w:val="en-US" w:eastAsia="zh-CN"/>
        </w:rPr>
        <w:t>2018-2019年</w:t>
      </w:r>
      <w:r>
        <w:rPr>
          <w:rFonts w:hint="default" w:ascii="Times New Roman" w:hAnsi="Times New Roman" w:eastAsia="宋体" w:cs="Times New Roman"/>
          <w:sz w:val="28"/>
          <w:szCs w:val="28"/>
        </w:rPr>
        <w:t>农业用水量占总用水量的</w:t>
      </w:r>
      <w:r>
        <w:rPr>
          <w:rFonts w:hint="default" w:ascii="Times New Roman" w:hAnsi="Times New Roman" w:eastAsia="宋体" w:cs="Times New Roman"/>
          <w:sz w:val="28"/>
          <w:szCs w:val="28"/>
          <w:lang w:val="en-US" w:eastAsia="zh-CN"/>
        </w:rPr>
        <w:t>52.87%、52.14%、67.8</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工业用水量占比</w:t>
      </w:r>
      <w:r>
        <w:rPr>
          <w:rFonts w:hint="default" w:ascii="Times New Roman" w:hAnsi="Times New Roman" w:eastAsia="宋体" w:cs="Times New Roman"/>
          <w:sz w:val="28"/>
          <w:szCs w:val="28"/>
          <w:lang w:val="en-US" w:eastAsia="zh-CN"/>
        </w:rPr>
        <w:t>30.02</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、30.54%、31.17</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居民生活量占比</w:t>
      </w:r>
      <w:r>
        <w:rPr>
          <w:rFonts w:hint="default" w:ascii="Times New Roman" w:hAnsi="Times New Roman" w:eastAsia="宋体" w:cs="Times New Roman"/>
          <w:sz w:val="28"/>
          <w:szCs w:val="28"/>
          <w:lang w:val="en-US" w:eastAsia="zh-CN"/>
        </w:rPr>
        <w:t>12.35</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、12.17%、13.3</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其它行业用水量占比5%以下。</w:t>
      </w:r>
    </w:p>
    <w:p w14:paraId="591F0B67">
      <w:pPr>
        <w:pStyle w:val="2"/>
        <w:rPr>
          <w:rFonts w:hint="default"/>
        </w:rPr>
      </w:pPr>
      <w:r>
        <w:rPr>
          <w:rFonts w:hint="default"/>
          <w:lang w:val="en-US" w:eastAsia="zh-CN"/>
        </w:rPr>
        <w:t>泽州县</w:t>
      </w:r>
      <w:r>
        <w:rPr>
          <w:rFonts w:hint="default"/>
        </w:rPr>
        <w:t>现有大中小型水库2</w:t>
      </w:r>
      <w:r>
        <w:rPr>
          <w:rFonts w:hint="eastAsia"/>
          <w:lang w:val="en-US" w:eastAsia="zh-CN"/>
        </w:rPr>
        <w:t>2</w:t>
      </w:r>
      <w:r>
        <w:rPr>
          <w:rFonts w:hint="default"/>
        </w:rPr>
        <w:t>座其中：中型水库3座，小（</w:t>
      </w:r>
      <w:r>
        <w:rPr>
          <w:rFonts w:hint="eastAsia"/>
          <w:lang w:val="en-US" w:eastAsia="zh-CN"/>
        </w:rPr>
        <w:t>1</w:t>
      </w:r>
      <w:r>
        <w:rPr>
          <w:rFonts w:hint="default"/>
        </w:rPr>
        <w:t>）型水库1</w:t>
      </w:r>
      <w:r>
        <w:rPr>
          <w:rFonts w:hint="eastAsia"/>
          <w:lang w:val="en-US" w:eastAsia="zh-CN"/>
        </w:rPr>
        <w:t>0</w:t>
      </w:r>
      <w:r>
        <w:rPr>
          <w:rFonts w:hint="default"/>
        </w:rPr>
        <w:t>座，小（</w:t>
      </w:r>
      <w:r>
        <w:rPr>
          <w:rFonts w:hint="eastAsia"/>
          <w:lang w:val="en-US" w:eastAsia="zh-CN"/>
        </w:rPr>
        <w:t>2</w:t>
      </w:r>
      <w:r>
        <w:rPr>
          <w:rFonts w:hint="default"/>
        </w:rPr>
        <w:t>）型水库</w:t>
      </w:r>
      <w:r>
        <w:rPr>
          <w:rFonts w:hint="eastAsia"/>
          <w:lang w:val="en-US" w:eastAsia="zh-CN"/>
        </w:rPr>
        <w:t>9</w:t>
      </w:r>
      <w:r>
        <w:rPr>
          <w:rFonts w:hint="default"/>
        </w:rPr>
        <w:t>座。</w:t>
      </w:r>
    </w:p>
    <w:p w14:paraId="6D2C1D58">
      <w:pPr>
        <w:pStyle w:val="2"/>
        <w:rPr>
          <w:rFonts w:hint="default"/>
        </w:rPr>
      </w:pPr>
      <w:r>
        <w:rPr>
          <w:rFonts w:hint="default"/>
          <w:lang w:val="en-US" w:eastAsia="zh-CN"/>
        </w:rPr>
        <w:t>泽州县不断完善供水网络，</w:t>
      </w:r>
      <w:r>
        <w:rPr>
          <w:rFonts w:hint="default"/>
        </w:rPr>
        <w:t>建设了一批县域水网工程、农村供水保障工程保障了县域经济社会发展、城乡居民生活用水需求。泽州县目前共建设工业供水工程3项，分别是泽州县任庄水库供水工程、泽州县圪套水库供水工程、张峰水库泽州供水工程</w:t>
      </w:r>
      <w:r>
        <w:rPr>
          <w:rFonts w:hint="default"/>
          <w:lang w:eastAsia="zh-CN"/>
        </w:rPr>
        <w:t>。</w:t>
      </w:r>
      <w:r>
        <w:rPr>
          <w:rFonts w:hint="default"/>
          <w:lang w:val="en-US" w:eastAsia="zh-CN"/>
        </w:rPr>
        <w:t>供水保障率得到提高，水资源配置格局进一步优化，</w:t>
      </w:r>
      <w:r>
        <w:rPr>
          <w:rFonts w:hint="default"/>
          <w:lang w:val="en-US" w:eastAsia="zh-Hans"/>
        </w:rPr>
        <w:t>张峰水库泽州供水工程巴公区全部完工并投入运行，建加压泵站一座，铺设球墨铸铁管6</w:t>
      </w:r>
      <w:r>
        <w:rPr>
          <w:rFonts w:hint="eastAsia"/>
          <w:lang w:val="en-US" w:eastAsia="zh-CN"/>
        </w:rPr>
        <w:t>km</w:t>
      </w:r>
      <w:r>
        <w:rPr>
          <w:rFonts w:hint="default"/>
          <w:lang w:val="en-US" w:eastAsia="zh-Hans"/>
        </w:rPr>
        <w:t>，完成投资2800万元，年可向巴公工业园区企业供水</w:t>
      </w:r>
      <w:r>
        <w:rPr>
          <w:rFonts w:hint="default"/>
          <w:lang w:val="en-US" w:eastAsia="zh-CN"/>
        </w:rPr>
        <w:t>1375</w:t>
      </w:r>
      <w:r>
        <w:rPr>
          <w:rFonts w:hint="default"/>
          <w:lang w:val="en-US" w:eastAsia="zh-Hans"/>
        </w:rPr>
        <w:t>万</w:t>
      </w:r>
      <w:r>
        <w:rPr>
          <w:rFonts w:hint="eastAsia"/>
          <w:lang w:val="en-US" w:eastAsia="zh-CN"/>
        </w:rPr>
        <w:t>m</w:t>
      </w:r>
      <w:r>
        <w:rPr>
          <w:rFonts w:hint="eastAsia"/>
          <w:vertAlign w:val="superscript"/>
          <w:lang w:val="en-US" w:eastAsia="zh-CN"/>
        </w:rPr>
        <w:t>3</w:t>
      </w:r>
      <w:r>
        <w:rPr>
          <w:rFonts w:hint="default"/>
          <w:lang w:val="en-US" w:eastAsia="zh-Hans"/>
        </w:rPr>
        <w:t>；</w:t>
      </w:r>
      <w:r>
        <w:rPr>
          <w:rFonts w:hint="default"/>
          <w:lang w:val="en-US" w:eastAsia="zh-CN"/>
        </w:rPr>
        <w:t>任庄水库地表水建成了泽州县润通供水有限公司，供山西兰花清洁能源有限公司生产用水及晋城市区两河生态用水，泽州县润通供水有限公司年供水量为500万m</w:t>
      </w:r>
      <w:r>
        <w:rPr>
          <w:rFonts w:hint="default"/>
          <w:vertAlign w:val="superscript"/>
          <w:lang w:val="en-US" w:eastAsia="zh-CN"/>
        </w:rPr>
        <w:t>3</w:t>
      </w:r>
      <w:r>
        <w:rPr>
          <w:rFonts w:hint="default"/>
          <w:lang w:val="en-US" w:eastAsia="zh-CN"/>
        </w:rPr>
        <w:t>（P=50%）</w:t>
      </w:r>
      <w:r>
        <w:rPr>
          <w:rFonts w:hint="eastAsia"/>
          <w:lang w:val="en-US" w:eastAsia="zh-CN"/>
        </w:rPr>
        <w:t>，</w:t>
      </w:r>
      <w:r>
        <w:rPr>
          <w:rFonts w:hint="default"/>
          <w:lang w:val="en-US" w:eastAsia="zh-CN"/>
        </w:rPr>
        <w:t>由泽州县任庄水库事务中心负责任庄水库灌溉任务</w:t>
      </w:r>
      <w:r>
        <w:rPr>
          <w:rFonts w:hint="eastAsia"/>
          <w:lang w:val="en-US" w:eastAsia="zh-CN"/>
        </w:rPr>
        <w:t>，</w:t>
      </w:r>
      <w:r>
        <w:rPr>
          <w:rFonts w:hint="default"/>
        </w:rPr>
        <w:t>项目总取水量为</w:t>
      </w:r>
      <w:r>
        <w:rPr>
          <w:rFonts w:hint="default"/>
          <w:lang w:eastAsia="zh-CN"/>
        </w:rPr>
        <w:t>184.28</w:t>
      </w:r>
      <w:r>
        <w:rPr>
          <w:rFonts w:hint="default"/>
        </w:rPr>
        <w:t>万</w:t>
      </w:r>
      <w:r>
        <w:rPr>
          <w:rFonts w:hint="default"/>
          <w:lang w:eastAsia="zh-CN"/>
        </w:rPr>
        <w:t>m³</w:t>
      </w:r>
      <w:r>
        <w:rPr>
          <w:rFonts w:hint="default"/>
        </w:rPr>
        <w:t>/a</w:t>
      </w:r>
      <w:r>
        <w:rPr>
          <w:rFonts w:hint="default"/>
          <w:lang w:val="en-US" w:eastAsia="zh-CN"/>
        </w:rPr>
        <w:t>（P=50%）</w:t>
      </w:r>
      <w:r>
        <w:rPr>
          <w:rFonts w:hint="eastAsia"/>
          <w:lang w:val="en-US" w:eastAsia="zh-CN"/>
        </w:rPr>
        <w:t>。</w:t>
      </w:r>
      <w:r>
        <w:rPr>
          <w:rFonts w:hint="default"/>
          <w:lang w:val="en-US" w:eastAsia="zh-Hans"/>
        </w:rPr>
        <w:t>圪套水库提水工程全部完工并投入运行，铺设球墨铸铁管10</w:t>
      </w:r>
      <w:r>
        <w:rPr>
          <w:rFonts w:hint="eastAsia"/>
          <w:lang w:val="en-US" w:eastAsia="zh-CN"/>
        </w:rPr>
        <w:t>km</w:t>
      </w:r>
      <w:r>
        <w:rPr>
          <w:rFonts w:hint="default"/>
          <w:lang w:val="en-US" w:eastAsia="zh-Hans"/>
        </w:rPr>
        <w:t>，完成投资1620万元，与杜河提水工程连通，年可向周村工业园区晋煤华昱公司供水300万</w:t>
      </w:r>
      <w:r>
        <w:rPr>
          <w:rFonts w:hint="eastAsia"/>
          <w:lang w:val="en-US" w:eastAsia="zh-CN"/>
        </w:rPr>
        <w:t>m</w:t>
      </w:r>
      <w:r>
        <w:rPr>
          <w:rFonts w:hint="eastAsia"/>
          <w:vertAlign w:val="superscript"/>
          <w:lang w:val="en-US" w:eastAsia="zh-CN"/>
        </w:rPr>
        <w:t>3</w:t>
      </w:r>
      <w:r>
        <w:rPr>
          <w:rFonts w:hint="default"/>
          <w:lang w:val="en-US" w:eastAsia="zh-Hans"/>
        </w:rPr>
        <w:t>。</w:t>
      </w:r>
    </w:p>
    <w:p w14:paraId="46607660">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r>
        <w:rPr>
          <w:rFonts w:hint="eastAsia" w:ascii="Times New Roman" w:hAnsi="Times New Roman" w:eastAsia="宋体"/>
          <w:lang w:val="en-US" w:eastAsia="zh-CN"/>
        </w:rPr>
        <w:t>1.3.3水利基础设施保障能力状况</w:t>
      </w:r>
      <w:bookmarkEnd w:id="17"/>
    </w:p>
    <w:p w14:paraId="4826F0EF">
      <w:pPr>
        <w:pStyle w:val="180"/>
        <w:keepNext w:val="0"/>
        <w:keepLines w:val="0"/>
        <w:pageBreakBefore w:val="0"/>
        <w:widowControl/>
        <w:kinsoku/>
        <w:wordWrap/>
        <w:overflowPunct/>
        <w:topLinePunct w:val="0"/>
        <w:autoSpaceDE/>
        <w:autoSpaceDN/>
        <w:bidi w:val="0"/>
        <w:adjustRightInd w:val="0"/>
        <w:snapToGrid w:val="0"/>
        <w:spacing w:line="360" w:lineRule="auto"/>
        <w:ind w:firstLine="560"/>
        <w:textAlignment w:val="auto"/>
        <w:rPr>
          <w:rFonts w:ascii="Times New Roman" w:hAnsi="Times New Roman"/>
          <w:highlight w:val="none"/>
        </w:rPr>
      </w:pPr>
      <w:r>
        <w:rPr>
          <w:rFonts w:hint="eastAsia" w:ascii="Times New Roman" w:hAnsi="Times New Roman"/>
          <w:highlight w:val="none"/>
          <w:lang w:eastAsia="zh-CN"/>
        </w:rPr>
        <w:t>山西省</w:t>
      </w:r>
      <w:r>
        <w:rPr>
          <w:rFonts w:ascii="Times New Roman" w:hAnsi="Times New Roman"/>
          <w:highlight w:val="none"/>
        </w:rPr>
        <w:t>现有涉水空间管控的法规主要有《山西省河道管理条例》、《山西省水工程管理条例》、《山西省防汛管理暂行规定》、《山西省泉域水资源保护条例》、《山西省水资源管理条例》、《山西省汾河流域生态修复与保护条例》</w:t>
      </w:r>
      <w:r>
        <w:rPr>
          <w:rFonts w:hint="eastAsia" w:ascii="Times New Roman" w:hAnsi="Times New Roman"/>
          <w:highlight w:val="none"/>
          <w:lang w:eastAsia="zh-CN"/>
        </w:rPr>
        <w:t>等，晋城市现有《晋城市沁丹河流域生态修复与保护条例》、《晋城市延河泉、三姑泉水资源保护条例（草案）（征求意见稿）》</w:t>
      </w:r>
      <w:r>
        <w:rPr>
          <w:rFonts w:ascii="Times New Roman" w:hAnsi="Times New Roman"/>
          <w:highlight w:val="none"/>
        </w:rPr>
        <w:t>等法规</w:t>
      </w:r>
      <w:r>
        <w:rPr>
          <w:rFonts w:hint="eastAsia" w:ascii="Times New Roman" w:hAnsi="Times New Roman"/>
          <w:highlight w:val="none"/>
          <w:lang w:eastAsia="zh-CN"/>
        </w:rPr>
        <w:t>条例</w:t>
      </w:r>
      <w:r>
        <w:rPr>
          <w:rFonts w:ascii="Times New Roman" w:hAnsi="Times New Roman"/>
          <w:highlight w:val="none"/>
        </w:rPr>
        <w:t>对河湖、水工程、水资源的保护和管理方面制定了一系列条款，给</w:t>
      </w:r>
      <w:r>
        <w:rPr>
          <w:rFonts w:hint="eastAsia" w:ascii="Times New Roman" w:hAnsi="Times New Roman"/>
          <w:highlight w:val="none"/>
          <w:lang w:val="en-US" w:eastAsia="zh-CN"/>
        </w:rPr>
        <w:t>泽州县</w:t>
      </w:r>
      <w:r>
        <w:rPr>
          <w:rFonts w:ascii="Times New Roman" w:hAnsi="Times New Roman"/>
          <w:highlight w:val="none"/>
        </w:rPr>
        <w:t>涉水空间的保护与管理提供了对策和法律保障。近年来，为全面提升河湖和水库工程管理水平，促进河湖休养生息，维护河湖健康生命，推进水生态文明建设，水利部印发了《关于加强河湖管理工作的指导意见》、《关于开展河湖管理范围和水利工程管理与保护范围划定工作的通知》等文件，针对河湖和水库管理范围界线不清晰，土地权属不明确的问题，山西省河长制办公室下发了《山西省河长制办公室关于开展河湖和水库工程管理范围划界工作的通知》（晋河办</w:t>
      </w:r>
      <w:r>
        <w:rPr>
          <w:rFonts w:hint="eastAsia" w:ascii="宋体" w:hAnsi="宋体" w:eastAsia="宋体" w:cs="宋体"/>
          <w:highlight w:val="none"/>
        </w:rPr>
        <w:t>〔</w:t>
      </w:r>
      <w:r>
        <w:rPr>
          <w:rFonts w:ascii="Times New Roman" w:hAnsi="Times New Roman"/>
          <w:highlight w:val="none"/>
        </w:rPr>
        <w:t>2018</w:t>
      </w:r>
      <w:r>
        <w:rPr>
          <w:rFonts w:hint="eastAsia" w:ascii="宋体" w:hAnsi="宋体" w:eastAsia="宋体" w:cs="宋体"/>
          <w:highlight w:val="none"/>
        </w:rPr>
        <w:t>〕</w:t>
      </w:r>
      <w:r>
        <w:rPr>
          <w:rFonts w:ascii="Times New Roman" w:hAnsi="Times New Roman"/>
          <w:highlight w:val="none"/>
        </w:rPr>
        <w:t>4号），给河湖管理范围划定、水利工程划界确权工作和河道管理提供了政策和技术依据，给全面推行河长制工作提供了重要的支撑。</w:t>
      </w:r>
    </w:p>
    <w:p w14:paraId="26B5817B">
      <w:pPr>
        <w:pStyle w:val="180"/>
        <w:keepNext w:val="0"/>
        <w:keepLines w:val="0"/>
        <w:pageBreakBefore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highlight w:val="none"/>
          <w:shd w:val="clear" w:color="auto" w:fill="FFFFFF"/>
          <w:lang w:val="en-US" w:eastAsia="zh-CN"/>
        </w:rPr>
      </w:pPr>
      <w:r>
        <w:rPr>
          <w:rFonts w:ascii="Times New Roman" w:hAnsi="Times New Roman"/>
          <w:highlight w:val="none"/>
        </w:rPr>
        <w:t>截至目前，在江河治理与防洪减灾方面，</w:t>
      </w:r>
      <w:r>
        <w:rPr>
          <w:rFonts w:hint="eastAsia" w:ascii="Times New Roman" w:hAnsi="Times New Roman"/>
          <w:highlight w:val="none"/>
          <w:lang w:val="en-US" w:eastAsia="zh-CN"/>
        </w:rPr>
        <w:t>泽州县</w:t>
      </w:r>
      <w:r>
        <w:rPr>
          <w:rFonts w:ascii="Times New Roman" w:hAnsi="Times New Roman"/>
          <w:highlight w:val="none"/>
        </w:rPr>
        <w:t>共建成</w:t>
      </w:r>
      <w:r>
        <w:rPr>
          <w:rFonts w:hint="eastAsia" w:ascii="Times New Roman" w:hAnsi="Times New Roman"/>
          <w:highlight w:val="none"/>
          <w:lang w:val="en-US" w:eastAsia="zh-CN"/>
        </w:rPr>
        <w:t>中</w:t>
      </w:r>
      <w:r>
        <w:rPr>
          <w:rFonts w:ascii="Times New Roman" w:hAnsi="Times New Roman"/>
          <w:highlight w:val="none"/>
        </w:rPr>
        <w:t>型水库</w:t>
      </w:r>
      <w:r>
        <w:rPr>
          <w:rFonts w:hint="eastAsia" w:ascii="Times New Roman" w:hAnsi="Times New Roman"/>
          <w:highlight w:val="none"/>
          <w:lang w:val="en-US" w:eastAsia="zh-CN"/>
        </w:rPr>
        <w:t>3</w:t>
      </w:r>
      <w:r>
        <w:rPr>
          <w:rFonts w:ascii="Times New Roman" w:hAnsi="Times New Roman"/>
          <w:highlight w:val="none"/>
        </w:rPr>
        <w:t>座</w:t>
      </w:r>
      <w:r>
        <w:rPr>
          <w:rFonts w:hint="eastAsia" w:ascii="Times New Roman" w:hAnsi="Times New Roman"/>
          <w:highlight w:val="none"/>
          <w:lang w:eastAsia="zh-CN"/>
        </w:rPr>
        <w:t>（</w:t>
      </w:r>
      <w:r>
        <w:rPr>
          <w:rFonts w:hint="eastAsia" w:ascii="Times New Roman" w:hAnsi="Times New Roman"/>
          <w:highlight w:val="none"/>
          <w:lang w:val="en-US" w:eastAsia="zh-CN"/>
        </w:rPr>
        <w:t>杜河水库、东焦河水库由市水务局管理</w:t>
      </w:r>
      <w:r>
        <w:rPr>
          <w:rFonts w:hint="eastAsia" w:ascii="Times New Roman" w:hAnsi="Times New Roman"/>
          <w:highlight w:val="none"/>
          <w:lang w:eastAsia="zh-CN"/>
        </w:rPr>
        <w:t>）</w:t>
      </w:r>
      <w:r>
        <w:rPr>
          <w:rFonts w:ascii="Times New Roman" w:hAnsi="Times New Roman"/>
          <w:highlight w:val="none"/>
        </w:rPr>
        <w:t>、</w:t>
      </w:r>
      <w:r>
        <w:rPr>
          <w:rFonts w:ascii="Times New Roman" w:hAnsi="Times New Roman"/>
          <w:highlight w:val="none"/>
          <w:shd w:val="clear" w:color="auto" w:fill="FFFFFF"/>
        </w:rPr>
        <w:t>小</w:t>
      </w:r>
      <w:r>
        <w:rPr>
          <w:rFonts w:hint="eastAsia" w:ascii="Times New Roman" w:hAnsi="Times New Roman"/>
          <w:highlight w:val="none"/>
          <w:shd w:val="clear" w:color="auto" w:fill="FFFFFF"/>
          <w:lang w:eastAsia="zh-CN"/>
        </w:rPr>
        <w:t>（</w:t>
      </w:r>
      <w:r>
        <w:rPr>
          <w:rFonts w:hint="eastAsia" w:ascii="Times New Roman" w:hAnsi="Times New Roman"/>
          <w:highlight w:val="none"/>
          <w:shd w:val="clear" w:color="auto" w:fill="FFFFFF"/>
          <w:lang w:val="en-US" w:eastAsia="zh-CN"/>
        </w:rPr>
        <w:t>1）</w:t>
      </w:r>
      <w:r>
        <w:rPr>
          <w:rFonts w:ascii="Times New Roman" w:hAnsi="Times New Roman"/>
          <w:highlight w:val="none"/>
          <w:shd w:val="clear" w:color="auto" w:fill="FFFFFF"/>
        </w:rPr>
        <w:t>型水库</w:t>
      </w:r>
      <w:r>
        <w:rPr>
          <w:rFonts w:hint="eastAsia" w:ascii="Times New Roman" w:hAnsi="Times New Roman"/>
          <w:highlight w:val="none"/>
          <w:shd w:val="clear" w:color="auto" w:fill="FFFFFF"/>
          <w:lang w:val="en-US" w:eastAsia="zh-CN"/>
        </w:rPr>
        <w:t>10</w:t>
      </w:r>
      <w:r>
        <w:rPr>
          <w:rFonts w:ascii="Times New Roman" w:hAnsi="Times New Roman"/>
          <w:highlight w:val="none"/>
          <w:shd w:val="clear" w:color="auto" w:fill="FFFFFF"/>
        </w:rPr>
        <w:t>座</w:t>
      </w:r>
      <w:r>
        <w:rPr>
          <w:rFonts w:hint="eastAsia" w:ascii="Times New Roman" w:hAnsi="Times New Roman"/>
          <w:highlight w:val="none"/>
          <w:shd w:val="clear" w:color="auto" w:fill="FFFFFF"/>
          <w:lang w:eastAsia="zh-CN"/>
        </w:rPr>
        <w:t>、</w:t>
      </w:r>
      <w:r>
        <w:rPr>
          <w:rFonts w:ascii="Times New Roman" w:hAnsi="Times New Roman"/>
          <w:highlight w:val="none"/>
          <w:shd w:val="clear" w:color="auto" w:fill="FFFFFF"/>
        </w:rPr>
        <w:t>小</w:t>
      </w:r>
      <w:r>
        <w:rPr>
          <w:rFonts w:hint="eastAsia" w:ascii="Times New Roman" w:hAnsi="Times New Roman"/>
          <w:highlight w:val="none"/>
          <w:shd w:val="clear" w:color="auto" w:fill="FFFFFF"/>
          <w:lang w:eastAsia="zh-CN"/>
        </w:rPr>
        <w:t>（</w:t>
      </w:r>
      <w:r>
        <w:rPr>
          <w:rFonts w:hint="eastAsia" w:ascii="Times New Roman" w:hAnsi="Times New Roman"/>
          <w:highlight w:val="none"/>
          <w:shd w:val="clear" w:color="auto" w:fill="FFFFFF"/>
          <w:lang w:val="en-US" w:eastAsia="zh-CN"/>
        </w:rPr>
        <w:t>2）</w:t>
      </w:r>
      <w:r>
        <w:rPr>
          <w:rFonts w:ascii="Times New Roman" w:hAnsi="Times New Roman"/>
          <w:highlight w:val="none"/>
          <w:shd w:val="clear" w:color="auto" w:fill="FFFFFF"/>
        </w:rPr>
        <w:t>型水库</w:t>
      </w:r>
      <w:r>
        <w:rPr>
          <w:rFonts w:hint="eastAsia" w:ascii="Times New Roman" w:hAnsi="Times New Roman"/>
          <w:highlight w:val="none"/>
          <w:shd w:val="clear" w:color="auto" w:fill="FFFFFF"/>
          <w:lang w:val="en-US" w:eastAsia="zh-CN"/>
        </w:rPr>
        <w:t>9</w:t>
      </w:r>
      <w:r>
        <w:rPr>
          <w:rFonts w:ascii="Times New Roman" w:hAnsi="Times New Roman"/>
          <w:highlight w:val="none"/>
          <w:shd w:val="clear" w:color="auto" w:fill="FFFFFF"/>
        </w:rPr>
        <w:t>座</w:t>
      </w:r>
      <w:r>
        <w:rPr>
          <w:rFonts w:hint="eastAsia" w:ascii="Times New Roman" w:hAnsi="Times New Roman"/>
          <w:highlight w:val="none"/>
          <w:shd w:val="clear" w:color="auto" w:fill="FFFFFF"/>
          <w:lang w:eastAsia="zh-CN"/>
        </w:rPr>
        <w:t>。</w:t>
      </w:r>
      <w:r>
        <w:rPr>
          <w:rFonts w:hint="eastAsia" w:ascii="Times New Roman" w:hAnsi="Times New Roman"/>
          <w:highlight w:val="none"/>
          <w:shd w:val="clear" w:color="auto" w:fill="FFFFFF"/>
          <w:lang w:val="en-US" w:eastAsia="zh-CN"/>
        </w:rPr>
        <w:t>泽州县开展了白水河、长河、彭沟、庾能4座水库除险加固工程，同时，近年来开展了白水河河道治理、北石店河河道治理工程，防洪减灾能力进一步提升。</w:t>
      </w:r>
    </w:p>
    <w:p w14:paraId="7AED3F86">
      <w:pPr>
        <w:keepNext w:val="0"/>
        <w:keepLines w:val="0"/>
        <w:pageBreakBefore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highlight w:val="none"/>
          <w:shd w:val="clear" w:color="auto" w:fill="FFFFFF"/>
        </w:rPr>
      </w:pPr>
      <w:r>
        <w:rPr>
          <w:rFonts w:eastAsia="宋体"/>
          <w:sz w:val="28"/>
          <w:szCs w:val="28"/>
          <w:highlight w:val="none"/>
        </w:rPr>
        <w:t>在流域生态修复治理方面，</w:t>
      </w:r>
      <w:r>
        <w:rPr>
          <w:rFonts w:ascii="Times New Roman" w:hAnsi="Times New Roman" w:eastAsia="宋体" w:cs="Times New Roman"/>
          <w:sz w:val="28"/>
          <w:szCs w:val="28"/>
          <w:highlight w:val="none"/>
          <w:shd w:val="clear" w:color="auto" w:fill="FFFFFF"/>
        </w:rPr>
        <w:t>山西省人民政府印发</w:t>
      </w:r>
      <w:r>
        <w:rPr>
          <w:rFonts w:hint="eastAsia" w:ascii="Times New Roman" w:hAnsi="Times New Roman" w:eastAsia="宋体" w:cs="Times New Roman"/>
          <w:sz w:val="28"/>
          <w:szCs w:val="28"/>
          <w:highlight w:val="none"/>
          <w:shd w:val="clear" w:color="auto" w:fill="FFFFFF"/>
          <w:lang w:val="en-US" w:eastAsia="zh-CN"/>
        </w:rPr>
        <w:t>实施《</w:t>
      </w:r>
      <w:r>
        <w:rPr>
          <w:rFonts w:ascii="Times New Roman" w:hAnsi="Times New Roman" w:eastAsia="宋体" w:cs="Times New Roman"/>
          <w:sz w:val="28"/>
          <w:szCs w:val="28"/>
          <w:highlight w:val="none"/>
          <w:shd w:val="clear" w:color="auto" w:fill="FFFFFF"/>
        </w:rPr>
        <w:t>山西省沁（丹）河流域生态修复与保护规划（2017年-2030年）</w:t>
      </w:r>
      <w:r>
        <w:rPr>
          <w:rFonts w:hint="eastAsia" w:ascii="Times New Roman" w:hAnsi="Times New Roman" w:eastAsia="宋体" w:cs="Times New Roman"/>
          <w:sz w:val="28"/>
          <w:szCs w:val="28"/>
          <w:highlight w:val="none"/>
          <w:shd w:val="clear" w:color="auto" w:fill="FFFFFF"/>
          <w:lang w:eastAsia="zh-CN"/>
        </w:rPr>
        <w:t>》</w:t>
      </w:r>
      <w:r>
        <w:rPr>
          <w:rFonts w:hint="eastAsia" w:ascii="Times New Roman" w:hAnsi="Times New Roman" w:eastAsia="宋体" w:cs="Times New Roman"/>
          <w:sz w:val="28"/>
          <w:szCs w:val="28"/>
          <w:highlight w:val="none"/>
          <w:shd w:val="clear" w:color="auto" w:fill="FFFFFF"/>
        </w:rPr>
        <w:t>，晋城市水务局发布了三姑泉域生态修复实施方案，水生态修复与保护工作不断积极向前推进</w:t>
      </w:r>
      <w:r>
        <w:rPr>
          <w:rFonts w:hint="eastAsia" w:ascii="Times New Roman" w:hAnsi="Times New Roman" w:eastAsia="宋体" w:cs="Times New Roman"/>
          <w:sz w:val="28"/>
          <w:szCs w:val="28"/>
          <w:highlight w:val="none"/>
          <w:shd w:val="clear" w:color="auto" w:fill="FFFFFF"/>
          <w:lang w:eastAsia="zh-CN"/>
        </w:rPr>
        <w:t>，</w:t>
      </w:r>
      <w:r>
        <w:rPr>
          <w:rFonts w:hint="eastAsia" w:ascii="Times New Roman" w:hAnsi="Times New Roman" w:eastAsia="宋体" w:cs="Times New Roman"/>
          <w:sz w:val="28"/>
          <w:szCs w:val="28"/>
          <w:highlight w:val="none"/>
          <w:shd w:val="clear" w:color="auto" w:fill="FFFFFF"/>
          <w:lang w:val="en-US" w:eastAsia="zh-CN"/>
        </w:rPr>
        <w:t>河流生态修复与保护、水土流失治理、地下水超采区均取得了显著成效，水生态环境治理已初见成效</w:t>
      </w:r>
      <w:r>
        <w:rPr>
          <w:rFonts w:hint="eastAsia" w:ascii="Times New Roman" w:hAnsi="Times New Roman" w:eastAsia="宋体" w:cs="Times New Roman"/>
          <w:sz w:val="28"/>
          <w:szCs w:val="28"/>
          <w:highlight w:val="none"/>
          <w:shd w:val="clear" w:color="auto" w:fill="FFFFFF"/>
        </w:rPr>
        <w:t>。完成了长河流域生态修复治理一期工程；开展了黑臭水体整治工程建设；进行了丹河龙门湿地公园二期（水北—龙门湖段）工程。</w:t>
      </w:r>
    </w:p>
    <w:p w14:paraId="3CCA773F">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bookmarkStart w:id="20" w:name="_Toc36060037"/>
      <w:r>
        <w:rPr>
          <w:rFonts w:hint="eastAsia" w:ascii="Times New Roman" w:hAnsi="Times New Roman" w:eastAsia="宋体"/>
          <w:lang w:val="en-US" w:eastAsia="zh-CN"/>
        </w:rPr>
        <w:t>1.3.4水安全风险状况</w:t>
      </w:r>
      <w:bookmarkEnd w:id="20"/>
    </w:p>
    <w:p w14:paraId="5AAF82D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highlight w:val="none"/>
        </w:rPr>
      </w:pPr>
      <w:r>
        <w:rPr>
          <w:rFonts w:eastAsia="宋体"/>
          <w:sz w:val="28"/>
          <w:szCs w:val="28"/>
          <w:highlight w:val="none"/>
        </w:rPr>
        <w:t>1、防洪安全：</w:t>
      </w:r>
    </w:p>
    <w:p w14:paraId="7B4D00A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highlight w:val="none"/>
          <w:lang w:val="en-US" w:eastAsia="zh-CN"/>
        </w:rPr>
      </w:pPr>
      <w:r>
        <w:rPr>
          <w:rFonts w:hint="eastAsia" w:eastAsia="宋体"/>
          <w:sz w:val="28"/>
          <w:szCs w:val="28"/>
          <w:highlight w:val="none"/>
          <w:lang w:val="en-US" w:eastAsia="zh-CN"/>
        </w:rPr>
        <w:t>泽州县</w:t>
      </w:r>
      <w:r>
        <w:rPr>
          <w:rFonts w:eastAsia="宋体"/>
          <w:sz w:val="28"/>
          <w:szCs w:val="28"/>
          <w:highlight w:val="none"/>
        </w:rPr>
        <w:t>境内河流众多，</w:t>
      </w:r>
      <w:r>
        <w:rPr>
          <w:rFonts w:hint="eastAsia" w:eastAsia="宋体"/>
          <w:sz w:val="28"/>
          <w:szCs w:val="28"/>
          <w:highlight w:val="none"/>
          <w:lang w:val="en-US" w:eastAsia="zh-CN"/>
        </w:rPr>
        <w:t>新中国成立后，</w:t>
      </w:r>
      <w:r>
        <w:rPr>
          <w:rFonts w:eastAsia="宋体"/>
          <w:sz w:val="28"/>
          <w:szCs w:val="28"/>
          <w:highlight w:val="none"/>
        </w:rPr>
        <w:t>经过后几十年的持续建设，流经主要</w:t>
      </w:r>
      <w:r>
        <w:rPr>
          <w:rFonts w:hint="eastAsia" w:eastAsia="宋体"/>
          <w:sz w:val="28"/>
          <w:szCs w:val="28"/>
          <w:highlight w:val="none"/>
          <w:lang w:eastAsia="zh-CN"/>
        </w:rPr>
        <w:t>乡镇</w:t>
      </w:r>
      <w:r>
        <w:rPr>
          <w:rFonts w:eastAsia="宋体"/>
          <w:sz w:val="28"/>
          <w:szCs w:val="28"/>
          <w:highlight w:val="none"/>
        </w:rPr>
        <w:t>的河流已基本得到整治，</w:t>
      </w:r>
      <w:r>
        <w:rPr>
          <w:rFonts w:hint="eastAsia" w:eastAsia="宋体"/>
          <w:sz w:val="28"/>
          <w:szCs w:val="28"/>
          <w:highlight w:val="none"/>
          <w:lang w:val="en-US" w:eastAsia="zh-CN"/>
        </w:rPr>
        <w:t>先后开展了任庄水库大坝改建除险加固工程、长河、白水河、彭沟、庾能水库除险加固工程也正在开展；丹河一期伏堂至东刘庄2.4km河道治理工程全面完工；丹河二期（水北—龙门段）项目完成了河道、桥梁及景观园建基础工程，完成投资14000万元，工程移交给了丹河新城公司建设，长河流域生态修复治理一期工程完成了河道整治和生态修复主体及部分景观节点工程，巴公镇、高都镇分别对巴公河过镇河段进行了河道堤防治理。</w:t>
      </w:r>
    </w:p>
    <w:p w14:paraId="08510B2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highlight w:val="none"/>
          <w:lang w:val="en-US" w:eastAsia="zh-CN"/>
        </w:rPr>
      </w:pPr>
      <w:r>
        <w:rPr>
          <w:rFonts w:hint="eastAsia" w:eastAsia="宋体"/>
          <w:sz w:val="28"/>
          <w:szCs w:val="28"/>
          <w:highlight w:val="none"/>
          <w:lang w:eastAsia="zh-CN"/>
        </w:rPr>
        <w:t>根据山西省水利厅晋水运管便</w:t>
      </w:r>
      <w:r>
        <w:rPr>
          <w:rFonts w:hint="eastAsia" w:ascii="宋体" w:hAnsi="宋体" w:eastAsia="宋体" w:cs="宋体"/>
          <w:sz w:val="28"/>
          <w:szCs w:val="28"/>
          <w:highlight w:val="none"/>
          <w:lang w:eastAsia="zh-CN"/>
        </w:rPr>
        <w:t>〔</w:t>
      </w:r>
      <w:r>
        <w:rPr>
          <w:rFonts w:hint="eastAsia" w:eastAsia="宋体"/>
          <w:sz w:val="28"/>
          <w:szCs w:val="28"/>
          <w:highlight w:val="none"/>
          <w:lang w:val="en-US" w:eastAsia="zh-CN"/>
        </w:rPr>
        <w:t>2020</w:t>
      </w:r>
      <w:r>
        <w:rPr>
          <w:rFonts w:hint="eastAsia" w:ascii="宋体" w:hAnsi="宋体" w:eastAsia="宋体" w:cs="宋体"/>
          <w:sz w:val="28"/>
          <w:szCs w:val="28"/>
          <w:highlight w:val="none"/>
          <w:lang w:val="en-US" w:eastAsia="zh-CN"/>
        </w:rPr>
        <w:t>〕</w:t>
      </w:r>
      <w:r>
        <w:rPr>
          <w:rFonts w:hint="eastAsia" w:eastAsia="宋体"/>
          <w:sz w:val="28"/>
          <w:szCs w:val="28"/>
          <w:highlight w:val="none"/>
          <w:lang w:val="en-US" w:eastAsia="zh-CN"/>
        </w:rPr>
        <w:t>9号文“关于印发山西省2020年度超标准洪水防御工作方案的通知”及</w:t>
      </w:r>
      <w:r>
        <w:rPr>
          <w:rFonts w:hint="eastAsia" w:eastAsia="宋体"/>
          <w:sz w:val="28"/>
          <w:szCs w:val="28"/>
          <w:highlight w:val="none"/>
          <w:lang w:eastAsia="zh-CN"/>
        </w:rPr>
        <w:t>晋水运管便</w:t>
      </w:r>
      <w:r>
        <w:rPr>
          <w:rFonts w:hint="eastAsia" w:ascii="宋体" w:hAnsi="宋体" w:eastAsia="宋体" w:cs="宋体"/>
          <w:sz w:val="28"/>
          <w:szCs w:val="28"/>
          <w:highlight w:val="none"/>
          <w:lang w:eastAsia="zh-CN"/>
        </w:rPr>
        <w:t>〔</w:t>
      </w:r>
      <w:r>
        <w:rPr>
          <w:rFonts w:hint="eastAsia" w:eastAsia="宋体"/>
          <w:sz w:val="28"/>
          <w:szCs w:val="28"/>
          <w:highlight w:val="none"/>
          <w:lang w:val="en-US" w:eastAsia="zh-CN"/>
        </w:rPr>
        <w:t>2020</w:t>
      </w:r>
      <w:r>
        <w:rPr>
          <w:rFonts w:hint="eastAsia" w:ascii="宋体" w:hAnsi="宋体" w:eastAsia="宋体" w:cs="宋体"/>
          <w:sz w:val="28"/>
          <w:szCs w:val="28"/>
          <w:highlight w:val="none"/>
          <w:lang w:val="en-US" w:eastAsia="zh-CN"/>
        </w:rPr>
        <w:t>〕</w:t>
      </w:r>
      <w:r>
        <w:rPr>
          <w:rFonts w:hint="eastAsia" w:eastAsia="宋体"/>
          <w:sz w:val="28"/>
          <w:szCs w:val="28"/>
          <w:highlight w:val="none"/>
          <w:lang w:val="en-US" w:eastAsia="zh-CN"/>
        </w:rPr>
        <w:t>12号文“关于印发山西省重点河流超标准洪水防御预案编制大纲的通知”，泽州县开展了县区及县内重点河流超标准洪水防御预案。</w:t>
      </w:r>
    </w:p>
    <w:p w14:paraId="7299C1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宋体"/>
          <w:sz w:val="28"/>
          <w:szCs w:val="28"/>
          <w:highlight w:val="none"/>
          <w:lang w:val="en-US" w:eastAsia="zh-CN"/>
        </w:rPr>
      </w:pPr>
      <w:r>
        <w:rPr>
          <w:rFonts w:hint="eastAsia" w:eastAsia="宋体"/>
          <w:sz w:val="28"/>
          <w:szCs w:val="28"/>
          <w:highlight w:val="none"/>
          <w:lang w:val="en-US" w:eastAsia="zh-CN"/>
        </w:rPr>
        <w:t>目前，正在继续开展山洪沟到治理和中小河流治理。2020年县区及重点河流都编制了《县城超标准洪水应急预案》；完成山洪灾害调查评价，进一步建设了山洪灾害综合保障体系，泽州县2016~2019年山洪灾害防治项目均已完工并验收，2020年度山洪灾害防治项目建设投资共22万元，其中：实施了群测群防体系建设，投资5万元，监测站点更新改造，投资7万元，预警指标检验复核，投资10万元。山洪灾害防治项目正在抓紧实施，截至目前，山洪灾害防治项目已全部完成。</w:t>
      </w:r>
    </w:p>
    <w:p w14:paraId="440E864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40" w:firstLineChars="200"/>
        <w:textAlignment w:val="auto"/>
        <w:rPr>
          <w:highlight w:val="none"/>
        </w:rPr>
      </w:pPr>
      <w:r>
        <w:rPr>
          <w:rFonts w:ascii="Times New Roman" w:hAnsi="Times New Roman" w:eastAsia="仿宋" w:cs="Times New Roman"/>
          <w:kern w:val="2"/>
          <w:sz w:val="32"/>
          <w:szCs w:val="24"/>
          <w:lang w:val="en-US" w:eastAsia="zh-CN" w:bidi="ar-SA"/>
        </w:rPr>
        <w:t>2、</w:t>
      </w:r>
      <w:r>
        <w:rPr>
          <w:rFonts w:eastAsia="宋体"/>
          <w:sz w:val="28"/>
          <w:szCs w:val="28"/>
          <w:highlight w:val="none"/>
        </w:rPr>
        <w:t>水资源</w:t>
      </w:r>
      <w:r>
        <w:rPr>
          <w:rFonts w:eastAsia="宋体"/>
          <w:color w:val="auto"/>
          <w:sz w:val="28"/>
          <w:szCs w:val="28"/>
          <w:highlight w:val="none"/>
        </w:rPr>
        <w:t>安全：</w:t>
      </w:r>
    </w:p>
    <w:p w14:paraId="371E5FC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highlight w:val="none"/>
        </w:rPr>
      </w:pPr>
      <w:r>
        <w:rPr>
          <w:rFonts w:eastAsia="宋体"/>
          <w:kern w:val="0"/>
          <w:sz w:val="28"/>
          <w:szCs w:val="28"/>
          <w:highlight w:val="none"/>
        </w:rPr>
        <w:t>根据</w:t>
      </w:r>
      <w:r>
        <w:rPr>
          <w:rFonts w:hint="eastAsia" w:eastAsia="宋体"/>
          <w:kern w:val="0"/>
          <w:sz w:val="28"/>
          <w:szCs w:val="28"/>
          <w:highlight w:val="none"/>
          <w:lang w:eastAsia="zh-CN"/>
        </w:rPr>
        <w:t>《</w:t>
      </w:r>
      <w:r>
        <w:rPr>
          <w:rFonts w:hint="eastAsia" w:eastAsia="宋体"/>
          <w:kern w:val="0"/>
          <w:sz w:val="28"/>
          <w:szCs w:val="28"/>
          <w:highlight w:val="none"/>
          <w:lang w:val="en-US" w:eastAsia="zh-CN"/>
        </w:rPr>
        <w:t>晋城市水资源评价</w:t>
      </w:r>
      <w:r>
        <w:rPr>
          <w:rFonts w:hint="eastAsia" w:eastAsia="宋体"/>
          <w:kern w:val="0"/>
          <w:sz w:val="28"/>
          <w:szCs w:val="28"/>
          <w:highlight w:val="none"/>
          <w:lang w:eastAsia="zh-CN"/>
        </w:rPr>
        <w:t>》（</w:t>
      </w:r>
      <w:r>
        <w:rPr>
          <w:rFonts w:hint="eastAsia" w:eastAsia="宋体"/>
          <w:kern w:val="0"/>
          <w:sz w:val="28"/>
          <w:szCs w:val="28"/>
          <w:highlight w:val="none"/>
          <w:lang w:val="en-US" w:eastAsia="zh-CN"/>
        </w:rPr>
        <w:t>2008年</w:t>
      </w:r>
      <w:r>
        <w:rPr>
          <w:rFonts w:hint="eastAsia" w:eastAsia="宋体"/>
          <w:kern w:val="0"/>
          <w:sz w:val="28"/>
          <w:szCs w:val="28"/>
          <w:highlight w:val="none"/>
          <w:lang w:eastAsia="zh-CN"/>
        </w:rPr>
        <w:t>）、</w:t>
      </w:r>
      <w:r>
        <w:rPr>
          <w:rFonts w:eastAsia="宋体"/>
          <w:kern w:val="0"/>
          <w:sz w:val="28"/>
          <w:szCs w:val="28"/>
          <w:highlight w:val="none"/>
        </w:rPr>
        <w:t>《山西省第三次水资源调查评价》</w:t>
      </w:r>
      <w:r>
        <w:rPr>
          <w:rFonts w:hint="eastAsia" w:eastAsia="宋体"/>
          <w:kern w:val="0"/>
          <w:sz w:val="28"/>
          <w:szCs w:val="28"/>
          <w:highlight w:val="none"/>
          <w:lang w:eastAsia="zh-CN"/>
        </w:rPr>
        <w:t>（阶段性成果）</w:t>
      </w:r>
      <w:r>
        <w:rPr>
          <w:rFonts w:eastAsia="宋体"/>
          <w:kern w:val="0"/>
          <w:sz w:val="28"/>
          <w:szCs w:val="28"/>
          <w:highlight w:val="none"/>
        </w:rPr>
        <w:t>，</w:t>
      </w:r>
      <w:r>
        <w:rPr>
          <w:rFonts w:hint="eastAsia" w:eastAsia="宋体"/>
          <w:kern w:val="0"/>
          <w:sz w:val="28"/>
          <w:szCs w:val="28"/>
          <w:highlight w:val="none"/>
          <w:lang w:val="en-US" w:eastAsia="zh-CN"/>
        </w:rPr>
        <w:t>1956-2000年系列泽州县水资源总量为32798万m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/a，1980-2000年系列泽州县水资源总量为29947万m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/a，2017-2020年水资源总量平均值为27105</w:t>
      </w:r>
      <w:r>
        <w:rPr>
          <w:rFonts w:hint="eastAsia" w:eastAsia="宋体"/>
          <w:kern w:val="0"/>
          <w:sz w:val="28"/>
          <w:szCs w:val="28"/>
          <w:highlight w:val="none"/>
          <w:lang w:eastAsia="zh-CN"/>
        </w:rPr>
        <w:t>万</w:t>
      </w:r>
      <w:r>
        <w:rPr>
          <w:rFonts w:eastAsia="宋体"/>
          <w:kern w:val="0"/>
          <w:sz w:val="28"/>
          <w:szCs w:val="28"/>
          <w:highlight w:val="none"/>
        </w:rPr>
        <w:t>m</w:t>
      </w:r>
      <w:r>
        <w:rPr>
          <w:rFonts w:eastAsia="宋体"/>
          <w:kern w:val="0"/>
          <w:sz w:val="28"/>
          <w:szCs w:val="28"/>
          <w:highlight w:val="none"/>
          <w:vertAlign w:val="superscript"/>
        </w:rPr>
        <w:t>3</w:t>
      </w:r>
      <w:r>
        <w:rPr>
          <w:rFonts w:hint="eastAsia" w:eastAsia="宋体"/>
          <w:kern w:val="0"/>
          <w:sz w:val="28"/>
          <w:szCs w:val="28"/>
          <w:highlight w:val="none"/>
          <w:lang w:val="en-US" w:eastAsia="zh-CN"/>
        </w:rPr>
        <w:t>/a，经对比分析，泽州县水资源总量总体呈现下降趋势。</w:t>
      </w:r>
      <w:r>
        <w:rPr>
          <w:rFonts w:eastAsia="宋体"/>
          <w:color w:val="auto"/>
          <w:sz w:val="28"/>
          <w:szCs w:val="28"/>
          <w:highlight w:val="none"/>
        </w:rPr>
        <w:t>并且随着人类活动对水文下垫面条件的影响，在降水条件总体稳定的情况下，</w:t>
      </w:r>
      <w:r>
        <w:rPr>
          <w:rFonts w:hint="eastAsia" w:eastAsia="宋体"/>
          <w:color w:val="auto"/>
          <w:sz w:val="28"/>
          <w:szCs w:val="28"/>
          <w:highlight w:val="none"/>
          <w:lang w:val="en-US" w:eastAsia="zh-CN"/>
        </w:rPr>
        <w:t>2</w:t>
      </w:r>
      <w:r>
        <w:rPr>
          <w:rFonts w:eastAsia="宋体"/>
          <w:color w:val="auto"/>
          <w:sz w:val="28"/>
          <w:szCs w:val="28"/>
          <w:highlight w:val="none"/>
        </w:rPr>
        <w:t>处岩溶大泉出露流量均呈现减少趋势，</w:t>
      </w:r>
      <w:r>
        <w:rPr>
          <w:rFonts w:hint="eastAsia" w:eastAsia="宋体"/>
          <w:color w:val="auto"/>
          <w:sz w:val="28"/>
          <w:szCs w:val="28"/>
          <w:highlight w:val="none"/>
          <w:lang w:val="en-US" w:eastAsia="zh-CN"/>
        </w:rPr>
        <w:t>总体</w:t>
      </w:r>
      <w:r>
        <w:rPr>
          <w:rFonts w:eastAsia="宋体"/>
          <w:color w:val="auto"/>
          <w:sz w:val="28"/>
          <w:szCs w:val="28"/>
          <w:highlight w:val="none"/>
        </w:rPr>
        <w:t>水资源总体情势不容乐观。</w:t>
      </w:r>
    </w:p>
    <w:p w14:paraId="3550D90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kern w:val="0"/>
          <w:sz w:val="28"/>
          <w:szCs w:val="28"/>
          <w:highlight w:val="none"/>
          <w:lang w:val="en-US" w:eastAsia="zh-CN"/>
        </w:rPr>
      </w:pPr>
      <w:r>
        <w:rPr>
          <w:rFonts w:hint="eastAsia" w:eastAsia="宋体"/>
          <w:kern w:val="0"/>
          <w:sz w:val="28"/>
          <w:szCs w:val="28"/>
          <w:highlight w:val="none"/>
          <w:lang w:val="en-US" w:eastAsia="zh-CN"/>
        </w:rPr>
        <w:t>3、供水安全：“十三五”期间不断完善供水网络，供水保障率得到提高，水资源配置格局进一步优化，张峰水库泽州供水工程巴公区全部完工并投入运行，建加压泵站1座，铺设球墨铸铁管6km，完成投资2800万元，年可向巴公工业园区企业供水1375万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；圪套水库提水工程全部完工并投入运行，铺设球墨铸铁管10km，完成投资1620万元，与杜河提水工程连通，年可向周村工业园区晋煤华昱公司供水300万m</w:t>
      </w:r>
      <w:r>
        <w:rPr>
          <w:rFonts w:hint="eastAsia" w:eastAsia="宋体"/>
          <w:kern w:val="0"/>
          <w:sz w:val="28"/>
          <w:szCs w:val="28"/>
          <w:highlight w:val="none"/>
          <w:vertAlign w:val="superscript"/>
          <w:lang w:val="en-US" w:eastAsia="zh-CN"/>
        </w:rPr>
        <w:t>3</w:t>
      </w:r>
      <w:r>
        <w:rPr>
          <w:rFonts w:hint="eastAsia" w:eastAsia="宋体"/>
          <w:kern w:val="0"/>
          <w:sz w:val="28"/>
          <w:szCs w:val="28"/>
          <w:highlight w:val="none"/>
          <w:lang w:val="en-US" w:eastAsia="zh-CN"/>
        </w:rPr>
        <w:t>。</w:t>
      </w:r>
    </w:p>
    <w:p w14:paraId="686E531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highlight w:val="none"/>
        </w:rPr>
      </w:pPr>
      <w:r>
        <w:rPr>
          <w:rFonts w:hint="eastAsia" w:eastAsia="宋体"/>
          <w:sz w:val="28"/>
          <w:szCs w:val="28"/>
          <w:highlight w:val="none"/>
        </w:rPr>
        <w:t>4、</w:t>
      </w:r>
      <w:r>
        <w:rPr>
          <w:rFonts w:eastAsia="宋体"/>
          <w:sz w:val="28"/>
          <w:szCs w:val="28"/>
          <w:highlight w:val="none"/>
        </w:rPr>
        <w:t>水生态安全：自2015年以来，山西省逐年印发水污染防治年度行动计划，以改善水环境质量为核心，强化源头管控，统筹上下游、左右岸、水陆域，分流域、分区域、分阶段科学治污，</w:t>
      </w:r>
      <w:r>
        <w:rPr>
          <w:rFonts w:hint="eastAsia" w:eastAsia="宋体"/>
          <w:sz w:val="28"/>
          <w:szCs w:val="28"/>
          <w:highlight w:val="none"/>
          <w:lang w:eastAsia="zh-CN"/>
        </w:rPr>
        <w:t>“</w:t>
      </w:r>
      <w:r>
        <w:rPr>
          <w:rFonts w:eastAsia="宋体"/>
          <w:sz w:val="28"/>
          <w:szCs w:val="28"/>
          <w:highlight w:val="none"/>
        </w:rPr>
        <w:t>截污、调水、清淤、增湿、绿岸</w:t>
      </w:r>
      <w:r>
        <w:rPr>
          <w:rFonts w:hint="eastAsia" w:eastAsia="宋体"/>
          <w:sz w:val="28"/>
          <w:szCs w:val="28"/>
          <w:highlight w:val="none"/>
          <w:lang w:eastAsia="zh-CN"/>
        </w:rPr>
        <w:t>”</w:t>
      </w:r>
      <w:r>
        <w:rPr>
          <w:rFonts w:eastAsia="宋体"/>
          <w:sz w:val="28"/>
          <w:szCs w:val="28"/>
          <w:highlight w:val="none"/>
        </w:rPr>
        <w:t>五策并举，水污染治理与水生态修复并重，依法推进水环境质量改善。</w:t>
      </w:r>
    </w:p>
    <w:p w14:paraId="4DA7086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highlight w:val="none"/>
          <w:lang w:val="en-US" w:eastAsia="zh-CN"/>
        </w:rPr>
      </w:pPr>
      <w:r>
        <w:rPr>
          <w:rFonts w:hint="default" w:eastAsia="宋体"/>
          <w:sz w:val="28"/>
          <w:szCs w:val="28"/>
          <w:highlight w:val="none"/>
          <w:lang w:val="en-US" w:eastAsia="zh-CN"/>
        </w:rPr>
        <w:t>山西省人民政府印发实施《山西省沁（丹）河流域生态修复与保护规划（2017年-2030年）》，晋城市水务局发布了三姑泉域、延河泉域生态修复实施方案，泽州县水务局积极配合工作，水生态修复与保护工作不断积极向前推进，河流生态修复与保护、水土流失治理、地下水超采区均取得了显著成效，水生态环境明显改善。</w:t>
      </w:r>
    </w:p>
    <w:p w14:paraId="17A93EB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highlight w:val="none"/>
          <w:lang w:val="en-US" w:eastAsia="zh-CN"/>
        </w:rPr>
      </w:pPr>
      <w:r>
        <w:rPr>
          <w:rFonts w:hint="default" w:eastAsia="宋体"/>
          <w:sz w:val="28"/>
          <w:szCs w:val="28"/>
          <w:highlight w:val="none"/>
          <w:lang w:val="en-US" w:eastAsia="zh-CN"/>
        </w:rPr>
        <w:t>丹河在掘山、韩庄、下城公、任庄水库、青莲寺设五个监测断面，根据2020年监测结果显示仅任庄水库断面不达标（韩庄为丹河排污控制区监测断面，不进行考核），水质不太好。加之近年来，降雨量相对减少，河床内流量减少，特别是干旱时，河床裸露，河流枯竭。</w:t>
      </w:r>
    </w:p>
    <w:p w14:paraId="021BF49A">
      <w:pPr>
        <w:pStyle w:val="5"/>
        <w:bidi w:val="0"/>
        <w:ind w:firstLine="0"/>
        <w:rPr>
          <w:rFonts w:hint="eastAsia" w:ascii="Times New Roman" w:hAnsi="Times New Roman"/>
          <w:lang w:val="en-US" w:eastAsia="zh-CN"/>
        </w:rPr>
      </w:pPr>
      <w:bookmarkStart w:id="21" w:name="_Toc21987"/>
      <w:bookmarkStart w:id="22" w:name="_Toc36060038"/>
      <w:r>
        <w:rPr>
          <w:rFonts w:hint="eastAsia" w:ascii="Times New Roman" w:hAnsi="Times New Roman"/>
          <w:lang w:val="en-US" w:eastAsia="zh-CN"/>
        </w:rPr>
        <w:t>1.4存在的主要问题</w:t>
      </w:r>
      <w:bookmarkEnd w:id="21"/>
      <w:bookmarkEnd w:id="22"/>
    </w:p>
    <w:p w14:paraId="6456F79C">
      <w:pPr>
        <w:pStyle w:val="6"/>
      </w:pPr>
      <w:bookmarkStart w:id="23" w:name="_Toc36060039"/>
      <w:r>
        <w:rPr>
          <w:rFonts w:hint="eastAsia"/>
          <w:lang w:val="en-US" w:eastAsia="zh-CN"/>
        </w:rPr>
        <w:t>1.4.1</w:t>
      </w:r>
      <w:r>
        <w:t>涉水空间划定和管控存在的问题</w:t>
      </w:r>
      <w:bookmarkEnd w:id="23"/>
    </w:p>
    <w:p w14:paraId="51B2E1C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eastAsia="宋体"/>
          <w:sz w:val="28"/>
          <w:szCs w:val="28"/>
        </w:rPr>
        <w:t>自201</w:t>
      </w:r>
      <w:r>
        <w:rPr>
          <w:rFonts w:hint="eastAsia" w:eastAsia="宋体"/>
          <w:sz w:val="28"/>
          <w:szCs w:val="28"/>
          <w:lang w:val="en-US" w:eastAsia="zh-CN"/>
        </w:rPr>
        <w:t>8</w:t>
      </w:r>
      <w:r>
        <w:rPr>
          <w:rFonts w:eastAsia="宋体"/>
          <w:sz w:val="28"/>
          <w:szCs w:val="28"/>
        </w:rPr>
        <w:t>年全面开展河湖和水库工程管理范围划界工作以来，已基本形成全</w:t>
      </w:r>
      <w:r>
        <w:rPr>
          <w:rFonts w:hint="eastAsia" w:eastAsia="宋体"/>
          <w:sz w:val="28"/>
          <w:szCs w:val="28"/>
          <w:lang w:val="en-US" w:eastAsia="zh-CN"/>
        </w:rPr>
        <w:t>县境</w:t>
      </w:r>
      <w:r>
        <w:rPr>
          <w:rFonts w:eastAsia="宋体"/>
          <w:sz w:val="28"/>
          <w:szCs w:val="28"/>
        </w:rPr>
        <w:t>内</w:t>
      </w:r>
      <w:r>
        <w:rPr>
          <w:rFonts w:hint="eastAsia" w:eastAsia="宋体"/>
          <w:sz w:val="28"/>
          <w:szCs w:val="28"/>
          <w:lang w:eastAsia="zh-CN"/>
        </w:rPr>
        <w:t>流域面积</w:t>
      </w:r>
      <w:r>
        <w:rPr>
          <w:rFonts w:hint="eastAsia" w:eastAsia="宋体"/>
          <w:sz w:val="28"/>
          <w:szCs w:val="28"/>
          <w:lang w:val="en-US" w:eastAsia="zh-CN"/>
        </w:rPr>
        <w:t>50km</w:t>
      </w:r>
      <w:r>
        <w:rPr>
          <w:rFonts w:hint="eastAsia" w:eastAsia="宋体"/>
          <w:sz w:val="28"/>
          <w:szCs w:val="28"/>
          <w:vertAlign w:val="superscript"/>
          <w:lang w:val="en-US" w:eastAsia="zh-CN"/>
        </w:rPr>
        <w:t>2</w:t>
      </w:r>
      <w:r>
        <w:rPr>
          <w:rFonts w:hint="eastAsia" w:eastAsia="宋体"/>
          <w:sz w:val="28"/>
          <w:szCs w:val="28"/>
          <w:lang w:val="en-US" w:eastAsia="zh-CN"/>
        </w:rPr>
        <w:t>以上</w:t>
      </w:r>
      <w:r>
        <w:rPr>
          <w:rFonts w:eastAsia="宋体"/>
          <w:sz w:val="28"/>
          <w:szCs w:val="28"/>
        </w:rPr>
        <w:t>河流的河道治导线规划及管理范围线划界成果，</w:t>
      </w:r>
      <w:r>
        <w:rPr>
          <w:rFonts w:hint="eastAsia" w:eastAsia="宋体"/>
          <w:sz w:val="28"/>
          <w:szCs w:val="28"/>
          <w:lang w:val="en-US" w:eastAsia="zh-CN"/>
        </w:rPr>
        <w:t>部分</w:t>
      </w:r>
      <w:r>
        <w:rPr>
          <w:rFonts w:hint="eastAsia" w:eastAsia="宋体"/>
          <w:sz w:val="28"/>
          <w:szCs w:val="28"/>
          <w:lang w:eastAsia="zh-CN"/>
        </w:rPr>
        <w:t>流域面积</w:t>
      </w:r>
      <w:r>
        <w:rPr>
          <w:rFonts w:hint="eastAsia" w:eastAsia="宋体"/>
          <w:sz w:val="28"/>
          <w:szCs w:val="28"/>
          <w:lang w:val="en-US" w:eastAsia="zh-CN"/>
        </w:rPr>
        <w:t>50km</w:t>
      </w:r>
      <w:r>
        <w:rPr>
          <w:rFonts w:hint="eastAsia" w:eastAsia="宋体"/>
          <w:sz w:val="28"/>
          <w:szCs w:val="28"/>
          <w:vertAlign w:val="superscript"/>
          <w:lang w:val="en-US" w:eastAsia="zh-CN"/>
        </w:rPr>
        <w:t>2</w:t>
      </w:r>
      <w:r>
        <w:rPr>
          <w:rFonts w:hint="eastAsia" w:eastAsia="宋体"/>
          <w:sz w:val="28"/>
          <w:szCs w:val="28"/>
          <w:lang w:val="en-US" w:eastAsia="zh-CN"/>
        </w:rPr>
        <w:t>以下的乡级河流的河道治导线及管理范围划界工作也已完成。截止2021年底</w:t>
      </w:r>
      <w:r>
        <w:rPr>
          <w:rFonts w:eastAsia="宋体"/>
          <w:sz w:val="28"/>
          <w:szCs w:val="28"/>
        </w:rPr>
        <w:t>全</w:t>
      </w:r>
      <w:r>
        <w:rPr>
          <w:rFonts w:hint="eastAsia" w:eastAsia="宋体"/>
          <w:sz w:val="28"/>
          <w:szCs w:val="28"/>
          <w:lang w:val="en-US" w:eastAsia="zh-CN"/>
        </w:rPr>
        <w:t>县22座</w:t>
      </w:r>
      <w:r>
        <w:rPr>
          <w:rFonts w:hint="eastAsia" w:eastAsia="宋体"/>
          <w:sz w:val="28"/>
          <w:szCs w:val="28"/>
          <w:lang w:eastAsia="zh-CN"/>
        </w:rPr>
        <w:t>水库</w:t>
      </w:r>
      <w:r>
        <w:rPr>
          <w:rFonts w:hint="eastAsia" w:eastAsia="宋体"/>
          <w:sz w:val="28"/>
          <w:szCs w:val="28"/>
          <w:lang w:val="en-US" w:eastAsia="zh-CN"/>
        </w:rPr>
        <w:t>（包含</w:t>
      </w:r>
      <w:r>
        <w:rPr>
          <w:rFonts w:hint="eastAsia" w:eastAsia="宋体"/>
          <w:sz w:val="28"/>
          <w:szCs w:val="28"/>
          <w:lang w:eastAsia="zh-CN"/>
        </w:rPr>
        <w:t>中型水库</w:t>
      </w:r>
      <w:r>
        <w:rPr>
          <w:rFonts w:hint="eastAsia" w:eastAsia="宋体"/>
          <w:sz w:val="28"/>
          <w:szCs w:val="28"/>
          <w:lang w:val="en-US" w:eastAsia="zh-CN"/>
        </w:rPr>
        <w:t>3座、</w:t>
      </w:r>
      <w:r>
        <w:rPr>
          <w:rFonts w:hint="eastAsia" w:eastAsia="宋体"/>
          <w:sz w:val="28"/>
          <w:szCs w:val="28"/>
          <w:highlight w:val="none"/>
          <w:lang w:val="en-US" w:eastAsia="zh-CN"/>
        </w:rPr>
        <w:t>小型水库19座</w:t>
      </w:r>
      <w:r>
        <w:rPr>
          <w:rFonts w:hint="eastAsia" w:eastAsia="宋体"/>
          <w:sz w:val="28"/>
          <w:szCs w:val="28"/>
          <w:lang w:val="en-US" w:eastAsia="zh-CN"/>
        </w:rPr>
        <w:t>），全部</w:t>
      </w:r>
      <w:r>
        <w:rPr>
          <w:rFonts w:eastAsia="宋体"/>
          <w:sz w:val="28"/>
          <w:szCs w:val="28"/>
        </w:rPr>
        <w:t>完成水库管理范围划界，河湖岸线规划</w:t>
      </w:r>
      <w:r>
        <w:rPr>
          <w:rFonts w:hint="eastAsia" w:eastAsia="宋体"/>
          <w:sz w:val="28"/>
          <w:szCs w:val="28"/>
          <w:lang w:eastAsia="zh-CN"/>
        </w:rPr>
        <w:t>县级流域面积</w:t>
      </w:r>
      <w:r>
        <w:rPr>
          <w:rFonts w:hint="eastAsia" w:eastAsia="宋体"/>
          <w:sz w:val="28"/>
          <w:szCs w:val="28"/>
          <w:lang w:val="en-US" w:eastAsia="zh-CN"/>
        </w:rPr>
        <w:t>50km</w:t>
      </w:r>
      <w:r>
        <w:rPr>
          <w:rFonts w:hint="eastAsia" w:eastAsia="宋体"/>
          <w:sz w:val="28"/>
          <w:szCs w:val="28"/>
          <w:vertAlign w:val="superscript"/>
          <w:lang w:val="en-US" w:eastAsia="zh-CN"/>
        </w:rPr>
        <w:t>2</w:t>
      </w:r>
      <w:r>
        <w:rPr>
          <w:rFonts w:hint="eastAsia" w:eastAsia="宋体"/>
          <w:sz w:val="28"/>
          <w:szCs w:val="28"/>
          <w:lang w:val="en-US" w:eastAsia="zh-CN"/>
        </w:rPr>
        <w:t>以上</w:t>
      </w:r>
      <w:r>
        <w:rPr>
          <w:rFonts w:eastAsia="宋体"/>
          <w:sz w:val="28"/>
          <w:szCs w:val="28"/>
        </w:rPr>
        <w:t>河流已</w:t>
      </w:r>
      <w:r>
        <w:rPr>
          <w:rFonts w:hint="eastAsia" w:eastAsia="宋体"/>
          <w:sz w:val="28"/>
          <w:szCs w:val="28"/>
          <w:lang w:eastAsia="zh-CN"/>
        </w:rPr>
        <w:t>全部</w:t>
      </w:r>
      <w:r>
        <w:rPr>
          <w:rFonts w:eastAsia="宋体"/>
          <w:sz w:val="28"/>
          <w:szCs w:val="28"/>
        </w:rPr>
        <w:t>完成。目前在河湖岸线管控方面存在的主要问题是：已完成划界成果的河流、水库尚未进行确权，河流管理范围和保护范围，水库库区及工程区仍然存在大量侵占物，其中农田对于河滩地和库尾的侵占较为普遍，且难以解决。</w:t>
      </w:r>
    </w:p>
    <w:p w14:paraId="0F4EC33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随着社会经济的发展，河流岸线开发利用项目日益增加，部分河段岸线无序开发和过度开发问题突出，涉水建筑物逐渐增多，河流岸线开发利用程度逐步提高，随意侵占河道水域、滩地的现象日益增多，从而影响防洪、供水和生态环境安全。河道侵占物主要包括：蔬菜大棚、养殖场、零星或废弃建筑物，砂场、企业厂房、</w:t>
      </w:r>
      <w:r>
        <w:rPr>
          <w:rFonts w:hint="eastAsia" w:eastAsia="宋体"/>
          <w:sz w:val="28"/>
          <w:szCs w:val="28"/>
          <w:lang w:eastAsia="zh-CN"/>
        </w:rPr>
        <w:t>房屋</w:t>
      </w:r>
      <w:r>
        <w:rPr>
          <w:rFonts w:eastAsia="宋体"/>
          <w:sz w:val="28"/>
          <w:szCs w:val="28"/>
        </w:rPr>
        <w:t>等。由于缺乏统一的规划指导，对岸线的防洪、供水、生态环境需求缺乏统筹，在目前的岸线开发利用中，存在重开发利用，轻岸线保护。部分岸线利用项目缺乏与国民经济发展及其他相关行业规划的协调，开发利用方式粗放，岸线功能没有得到充分发挥。</w:t>
      </w:r>
    </w:p>
    <w:p w14:paraId="1A28021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bCs/>
          <w:sz w:val="28"/>
          <w:szCs w:val="44"/>
        </w:rPr>
      </w:pPr>
      <w:r>
        <w:rPr>
          <w:rFonts w:hint="default" w:ascii="Times New Roman" w:hAnsi="Times New Roman" w:eastAsia="宋体" w:cs="Times New Roman"/>
          <w:sz w:val="28"/>
          <w:szCs w:val="28"/>
        </w:rPr>
        <w:t>2017～2020年</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范围内开展并基本完成了</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内50km</w:t>
      </w:r>
      <w:r>
        <w:rPr>
          <w:rFonts w:hint="default" w:ascii="Times New Roman" w:hAnsi="Times New Roman" w:eastAsia="宋体" w:cs="Times New Roman"/>
          <w:sz w:val="28"/>
          <w:szCs w:val="28"/>
          <w:vertAlign w:val="superscript"/>
        </w:rPr>
        <w:t>2</w:t>
      </w:r>
      <w:r>
        <w:rPr>
          <w:rFonts w:hint="default" w:ascii="Times New Roman" w:hAnsi="Times New Roman" w:eastAsia="宋体" w:cs="Times New Roman"/>
          <w:sz w:val="28"/>
          <w:szCs w:val="28"/>
        </w:rPr>
        <w:t>以上治导线及划界工作，但全线尚未埋设界桩。全流域长期以来河岸线范围界定不明确，功能定位不清，在岸线管理方面缺乏技术依据，难以确定岸线利用项目涉及的区域是否侵占河道，是否影响河流防洪、供水安全以及水生态环境等，对科学合理利用和管理岸线造成困难缺乏统一管理。特别是岸线的开发利用管理涉及水利、市政、环保等部门，流域</w:t>
      </w:r>
      <w:r>
        <w:rPr>
          <w:rFonts w:hint="default" w:ascii="Times New Roman" w:hAnsi="Times New Roman" w:eastAsia="宋体" w:cs="Times New Roman"/>
          <w:bCs/>
          <w:sz w:val="28"/>
          <w:szCs w:val="44"/>
        </w:rPr>
        <w:t>统一管理和地方分级管理之间、部门间和行业间缺乏有效的沟通、协调机制，导致政出不一，职责不清，各自为政，存在多头管理现象。对岸线的保护和管理，缺乏有效的控制手段。</w:t>
      </w:r>
    </w:p>
    <w:p w14:paraId="50115105">
      <w:pPr>
        <w:pStyle w:val="6"/>
      </w:pPr>
      <w:bookmarkStart w:id="24" w:name="_Toc36060040"/>
      <w:r>
        <w:rPr>
          <w:rFonts w:hint="eastAsia"/>
          <w:lang w:val="en-US" w:eastAsia="zh-CN"/>
        </w:rPr>
        <w:t>1.4.2</w:t>
      </w:r>
      <w:r>
        <w:t>水资源承载能力存在的问题</w:t>
      </w:r>
      <w:bookmarkEnd w:id="24"/>
    </w:p>
    <w:p w14:paraId="1ECAC9C8">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由于地形特点，</w:t>
      </w:r>
      <w:r>
        <w:rPr>
          <w:rFonts w:hint="eastAsia" w:cs="Times New Roman"/>
          <w:lang w:val="en-US" w:eastAsia="zh-CN"/>
        </w:rPr>
        <w:t>泽州</w:t>
      </w:r>
      <w:r>
        <w:rPr>
          <w:rFonts w:hint="default" w:ascii="Times New Roman" w:hAnsi="Times New Roman" w:cs="Times New Roman"/>
          <w:lang w:val="en-US" w:eastAsia="zh-CN"/>
        </w:rPr>
        <w:t>县</w:t>
      </w:r>
      <w:r>
        <w:rPr>
          <w:rFonts w:hint="default" w:ascii="Times New Roman" w:hAnsi="Times New Roman" w:cs="Times New Roman"/>
        </w:rPr>
        <w:t>地表水资源在出省边境丰富，岩溶大泉也在泉域下游偏远山区出流，开采利用成本高。境内浅中层地下水受采煤破坏，可利用价值不大。岩溶地下水是我</w:t>
      </w:r>
      <w:r>
        <w:rPr>
          <w:rFonts w:hint="default" w:ascii="Times New Roman" w:hAnsi="Times New Roman" w:cs="Times New Roman"/>
          <w:lang w:val="en-US" w:eastAsia="zh-CN"/>
        </w:rPr>
        <w:t>县</w:t>
      </w:r>
      <w:r>
        <w:rPr>
          <w:rFonts w:hint="default" w:ascii="Times New Roman" w:hAnsi="Times New Roman" w:cs="Times New Roman"/>
        </w:rPr>
        <w:t>可利用的主要水源。</w:t>
      </w:r>
    </w:p>
    <w:p w14:paraId="2A31ECEC">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泽州县供水水源工程，主要有蓄水工程、引水工程、提水工程、水井工程以及污废水与矿坑水利用工程五大类。</w:t>
      </w:r>
    </w:p>
    <w:p w14:paraId="52787339">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地表水供水水源以蓄水、引水和提水工程为主，实行集中供水与分散共水相结合，主要供水对象为农业。境内共有蓄水工程1630座，其中小水库21座，总库容4094万m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；大中型水库3座，任庄水库、杜河水库和东焦河水库；大型引水工程一项，即张峰水库供工程。引水工程1952座，提水工程2140处。</w:t>
      </w:r>
    </w:p>
    <w:p w14:paraId="65A5AA15">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地下水供水水源以管井开采为主，一是采取集中供水，主要供水对象为城市生活、大中型工况企业；二是分散供水，主要供水对象为农村生活及小型工况企业用水。境内现有水井2241眼，塘坝62处，窖池1544处。</w:t>
      </w:r>
    </w:p>
    <w:p w14:paraId="76307A63">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局部地区地下水超采严重</w:t>
      </w:r>
    </w:p>
    <w:p w14:paraId="38A1D623">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泽州县主要靠开采地下水以满足工农业用水，由于地下水开采量及采煤排水的影响，造成部分区域地下水水位不断下降。特别是在人口和工业集中分布的丹河流域，取水主要依靠深层岩溶地下水，形成了巴公岩溶地下水严重超采区。</w:t>
      </w:r>
    </w:p>
    <w:p w14:paraId="39F00BC8">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设施配套水平有待提升</w:t>
      </w:r>
    </w:p>
    <w:p w14:paraId="663E751D">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设施配套水平有待提升，泽州县农村供水管网漏损率较大，局部地段管径偏小，跑、冒、漏现象时有发生，应该科学制定和实施管网改造技木方案，减少供水系统漏损；现状由于节水器具生产规模小，价格高导致节水器具普及率较低。</w:t>
      </w:r>
    </w:p>
    <w:p w14:paraId="1F46A46E">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水资源监测信息网络系统尚需完善</w:t>
      </w:r>
    </w:p>
    <w:p w14:paraId="42283E02">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水资源监测是水资源开发利用、管理保护的一项重要的基础工作，可为水资源管理提供宝贵的水量、水质等重要资料，并为水资源保护提供科学依据。目前，水资源监测信息网络系统尚不完善，取水计量设施安装不到位，监测信息不能共享。</w:t>
      </w:r>
    </w:p>
    <w:p w14:paraId="45CE3ADE">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非常规水利用率不高</w:t>
      </w:r>
    </w:p>
    <w:p w14:paraId="5C7B1CDE">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非常规水资源开发利用涉及多个部门，规划不衔接、投资保障不足导致配套设施建设滞后，一些污水处理厂生产的中水得不到利用，造成水资源浪费。</w:t>
      </w:r>
    </w:p>
    <w:p w14:paraId="517477D2">
      <w:pPr>
        <w:pStyle w:val="6"/>
      </w:pPr>
      <w:bookmarkStart w:id="25" w:name="_Toc36060041"/>
      <w:r>
        <w:rPr>
          <w:rFonts w:hint="eastAsia"/>
          <w:highlight w:val="none"/>
          <w:lang w:val="en-US" w:eastAsia="zh-CN"/>
        </w:rPr>
        <w:t>1.4.3</w:t>
      </w:r>
      <w:r>
        <w:rPr>
          <w:highlight w:val="none"/>
        </w:rPr>
        <w:t>水利基础设施存在的问题</w:t>
      </w:r>
      <w:bookmarkEnd w:id="25"/>
    </w:p>
    <w:p w14:paraId="61DC62C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围绕补齐水利基础设施领域</w:t>
      </w:r>
      <w:r>
        <w:rPr>
          <w:rFonts w:eastAsia="宋体"/>
          <w:kern w:val="0"/>
          <w:sz w:val="28"/>
          <w:szCs w:val="28"/>
          <w:shd w:val="clear" w:color="auto" w:fill="FFFFFF"/>
        </w:rPr>
        <w:t>防洪抗旱存在薄弱环节、供水工程体系尚未完善、水生态退化、水利信息化程度不高等</w:t>
      </w:r>
      <w:r>
        <w:rPr>
          <w:rFonts w:eastAsia="宋体"/>
          <w:sz w:val="28"/>
          <w:szCs w:val="28"/>
        </w:rPr>
        <w:t>方面的短板，按照中央新时代</w:t>
      </w:r>
      <w:r>
        <w:rPr>
          <w:rFonts w:hint="eastAsia" w:eastAsia="宋体"/>
          <w:sz w:val="28"/>
          <w:szCs w:val="28"/>
          <w:lang w:eastAsia="zh-CN"/>
        </w:rPr>
        <w:t>“</w:t>
      </w:r>
      <w:r>
        <w:rPr>
          <w:rFonts w:eastAsia="宋体"/>
          <w:sz w:val="28"/>
          <w:szCs w:val="28"/>
        </w:rPr>
        <w:t>节水优先、空间均衡、系统治理、两手发力</w:t>
      </w:r>
      <w:r>
        <w:rPr>
          <w:rFonts w:hint="eastAsia" w:eastAsia="宋体"/>
          <w:sz w:val="28"/>
          <w:szCs w:val="28"/>
          <w:lang w:eastAsia="zh-CN"/>
        </w:rPr>
        <w:t>”</w:t>
      </w:r>
      <w:r>
        <w:rPr>
          <w:rFonts w:eastAsia="宋体"/>
          <w:sz w:val="28"/>
          <w:szCs w:val="28"/>
        </w:rPr>
        <w:t>16字治水方针</w:t>
      </w:r>
      <w:r>
        <w:rPr>
          <w:rFonts w:hint="default" w:ascii="Times New Roman" w:hAnsi="Times New Roman" w:eastAsia="宋体" w:cs="Times New Roman"/>
          <w:sz w:val="28"/>
          <w:szCs w:val="28"/>
        </w:rPr>
        <w:t>和省委、省政府治水方略的战略部署，进一步完善水利基础设施网络，加快补齐水利基础设施短板。</w:t>
      </w:r>
    </w:p>
    <w:p w14:paraId="4E7585AC">
      <w:pPr>
        <w:keepNext w:val="0"/>
        <w:keepLines w:val="0"/>
        <w:pageBreakBefore w:val="0"/>
        <w:widowControl w:val="0"/>
        <w:kinsoku/>
        <w:wordWrap/>
        <w:overflowPunct/>
        <w:topLinePunct w:val="0"/>
        <w:autoSpaceDE/>
        <w:autoSpaceDN/>
        <w:bidi w:val="0"/>
        <w:snapToGrid w:val="0"/>
        <w:spacing w:line="360" w:lineRule="auto"/>
        <w:ind w:firstLine="562"/>
        <w:textAlignment w:val="auto"/>
        <w:rPr>
          <w:rFonts w:eastAsia="宋体"/>
          <w:b/>
          <w:sz w:val="28"/>
          <w:szCs w:val="28"/>
        </w:rPr>
      </w:pPr>
      <w:r>
        <w:rPr>
          <w:rFonts w:eastAsia="宋体"/>
          <w:b/>
          <w:sz w:val="28"/>
          <w:szCs w:val="28"/>
        </w:rPr>
        <w:t>1）防洪工程</w:t>
      </w:r>
      <w:r>
        <w:rPr>
          <w:rFonts w:hint="eastAsia" w:eastAsia="宋体"/>
          <w:b/>
          <w:sz w:val="28"/>
          <w:szCs w:val="28"/>
          <w:lang w:val="en-US" w:eastAsia="zh-CN"/>
        </w:rPr>
        <w:t>存在</w:t>
      </w:r>
      <w:r>
        <w:rPr>
          <w:rFonts w:eastAsia="宋体"/>
          <w:b/>
          <w:sz w:val="28"/>
          <w:szCs w:val="28"/>
        </w:rPr>
        <w:t>薄弱环节</w:t>
      </w:r>
    </w:p>
    <w:p w14:paraId="430F2EB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default" w:eastAsia="宋体"/>
          <w:sz w:val="28"/>
          <w:szCs w:val="28"/>
        </w:rPr>
        <w:t>洪涝灾害是</w:t>
      </w:r>
      <w:r>
        <w:rPr>
          <w:rFonts w:hint="eastAsia" w:eastAsia="宋体"/>
          <w:sz w:val="28"/>
          <w:szCs w:val="28"/>
          <w:lang w:val="en-US" w:eastAsia="zh-CN"/>
        </w:rPr>
        <w:t>泽州县</w:t>
      </w:r>
      <w:r>
        <w:rPr>
          <w:rFonts w:hint="default" w:eastAsia="宋体"/>
          <w:sz w:val="28"/>
          <w:szCs w:val="28"/>
        </w:rPr>
        <w:t>最主要的自然灾害之一，洪涝灾害的广发、频发，严重影响了城市正常运行、社会管理以及人民生命财产安全。</w:t>
      </w:r>
      <w:r>
        <w:rPr>
          <w:rFonts w:hint="eastAsia" w:eastAsia="宋体"/>
          <w:sz w:val="28"/>
          <w:szCs w:val="28"/>
          <w:lang w:val="en-US" w:eastAsia="zh-CN"/>
        </w:rPr>
        <w:t>泽州县</w:t>
      </w:r>
      <w:r>
        <w:rPr>
          <w:rFonts w:hint="default" w:eastAsia="宋体"/>
          <w:sz w:val="28"/>
          <w:szCs w:val="28"/>
        </w:rPr>
        <w:t>虽已通过建设水库、修筑河道堤防、布设雨水情监测站点等初步形成防洪减灾体系，但仍存在薄弱环节。</w:t>
      </w:r>
    </w:p>
    <w:p w14:paraId="72B7D69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default" w:eastAsia="宋体"/>
          <w:sz w:val="28"/>
          <w:szCs w:val="28"/>
        </w:rPr>
        <w:t>经过全国中小河流治理，</w:t>
      </w:r>
      <w:r>
        <w:rPr>
          <w:rFonts w:hint="eastAsia" w:eastAsia="宋体"/>
          <w:sz w:val="28"/>
          <w:szCs w:val="28"/>
          <w:lang w:val="en-US" w:eastAsia="zh-CN"/>
        </w:rPr>
        <w:t>泽州</w:t>
      </w:r>
      <w:r>
        <w:rPr>
          <w:rFonts w:hint="default" w:eastAsia="宋体"/>
          <w:sz w:val="28"/>
          <w:szCs w:val="28"/>
        </w:rPr>
        <w:t>丹河干流和主要支流，大部分已达防洪标准，有些河流仍然存在河道淤积、堤防破损坍塌，防洪标准不达标的问题</w:t>
      </w:r>
      <w:r>
        <w:rPr>
          <w:rFonts w:hint="eastAsia" w:eastAsia="宋体"/>
          <w:sz w:val="28"/>
          <w:szCs w:val="28"/>
          <w:lang w:eastAsia="zh-CN"/>
        </w:rPr>
        <w:t>；</w:t>
      </w:r>
      <w:r>
        <w:rPr>
          <w:rFonts w:hint="eastAsia" w:eastAsia="宋体"/>
          <w:sz w:val="28"/>
          <w:szCs w:val="28"/>
        </w:rPr>
        <w:t>部分集镇和边山峪口存在防洪隐患；南部山区干旱缺水问题尚未得到彻底解决，亟待继续加大投入力度</w:t>
      </w:r>
      <w:r>
        <w:rPr>
          <w:rFonts w:hint="eastAsia" w:eastAsia="宋体"/>
          <w:sz w:val="28"/>
          <w:szCs w:val="28"/>
          <w:lang w:eastAsia="zh-CN"/>
        </w:rPr>
        <w:t>；</w:t>
      </w:r>
      <w:r>
        <w:rPr>
          <w:rFonts w:hint="default" w:eastAsia="宋体"/>
          <w:sz w:val="28"/>
          <w:szCs w:val="28"/>
        </w:rPr>
        <w:t>部分河段受人为建设影响，挤占河道行洪空间，河道缺失自然生态特性，缺乏统一规划和管理，防洪体系有待完善。</w:t>
      </w:r>
      <w:r>
        <w:rPr>
          <w:rFonts w:eastAsia="宋体"/>
          <w:sz w:val="28"/>
          <w:szCs w:val="28"/>
        </w:rPr>
        <w:t>监测预警体系不完善，全</w:t>
      </w:r>
      <w:r>
        <w:rPr>
          <w:rFonts w:hint="eastAsia" w:eastAsia="宋体"/>
          <w:sz w:val="28"/>
          <w:szCs w:val="28"/>
          <w:lang w:val="en-US" w:eastAsia="zh-CN"/>
        </w:rPr>
        <w:t>县</w:t>
      </w:r>
      <w:r>
        <w:rPr>
          <w:rFonts w:eastAsia="宋体"/>
          <w:sz w:val="28"/>
          <w:szCs w:val="28"/>
        </w:rPr>
        <w:t>现有水文站主要监测沁丹河流量，白水河</w:t>
      </w:r>
      <w:r>
        <w:rPr>
          <w:rFonts w:hint="eastAsia" w:eastAsia="宋体"/>
          <w:sz w:val="28"/>
          <w:szCs w:val="28"/>
          <w:lang w:eastAsia="zh-CN"/>
        </w:rPr>
        <w:t>、</w:t>
      </w:r>
      <w:r>
        <w:rPr>
          <w:rFonts w:hint="eastAsia" w:eastAsia="宋体"/>
          <w:sz w:val="28"/>
          <w:szCs w:val="28"/>
          <w:lang w:val="en-US" w:eastAsia="zh-CN"/>
        </w:rPr>
        <w:t>长河</w:t>
      </w:r>
      <w:r>
        <w:rPr>
          <w:rFonts w:eastAsia="宋体"/>
          <w:sz w:val="28"/>
          <w:szCs w:val="28"/>
        </w:rPr>
        <w:t>等河流未设置水文站，覆盖不全，难以准确掌握主要河道洪水情况，</w:t>
      </w:r>
      <w:r>
        <w:rPr>
          <w:rFonts w:hint="eastAsia" w:eastAsia="宋体"/>
          <w:sz w:val="28"/>
          <w:szCs w:val="28"/>
          <w:lang w:val="en-US" w:eastAsia="zh-CN"/>
        </w:rPr>
        <w:t>部分</w:t>
      </w:r>
      <w:r>
        <w:rPr>
          <w:rFonts w:eastAsia="宋体"/>
          <w:sz w:val="28"/>
          <w:szCs w:val="28"/>
        </w:rPr>
        <w:t>小型水库未完成雨水情测报</w:t>
      </w:r>
      <w:r>
        <w:rPr>
          <w:rFonts w:hint="eastAsia" w:eastAsia="宋体"/>
          <w:sz w:val="28"/>
          <w:szCs w:val="28"/>
          <w:lang w:val="en-US" w:eastAsia="zh-CN"/>
        </w:rPr>
        <w:t>及</w:t>
      </w:r>
      <w:r>
        <w:rPr>
          <w:rFonts w:eastAsia="宋体"/>
          <w:sz w:val="28"/>
          <w:szCs w:val="28"/>
        </w:rPr>
        <w:t>大坝安全监测设施建设，监测设备不能有效覆盖重点危险村。</w:t>
      </w:r>
    </w:p>
    <w:p w14:paraId="0CC55770">
      <w:pPr>
        <w:keepNext w:val="0"/>
        <w:keepLines w:val="0"/>
        <w:pageBreakBefore w:val="0"/>
        <w:widowControl w:val="0"/>
        <w:kinsoku/>
        <w:wordWrap/>
        <w:overflowPunct/>
        <w:topLinePunct w:val="0"/>
        <w:autoSpaceDE/>
        <w:autoSpaceDN/>
        <w:bidi w:val="0"/>
        <w:snapToGrid w:val="0"/>
        <w:spacing w:line="360" w:lineRule="auto"/>
        <w:ind w:firstLine="562"/>
        <w:textAlignment w:val="auto"/>
        <w:rPr>
          <w:rFonts w:eastAsia="宋体"/>
          <w:b/>
          <w:sz w:val="28"/>
          <w:szCs w:val="28"/>
        </w:rPr>
      </w:pPr>
      <w:r>
        <w:rPr>
          <w:rFonts w:eastAsia="宋体"/>
          <w:b/>
          <w:sz w:val="28"/>
          <w:szCs w:val="28"/>
        </w:rPr>
        <w:t>2）供水工程体系</w:t>
      </w:r>
      <w:r>
        <w:rPr>
          <w:rFonts w:hint="eastAsia" w:eastAsia="宋体"/>
          <w:b/>
          <w:sz w:val="28"/>
          <w:szCs w:val="28"/>
          <w:lang w:val="en-US" w:eastAsia="zh-CN"/>
        </w:rPr>
        <w:t>尚需</w:t>
      </w:r>
      <w:r>
        <w:rPr>
          <w:rFonts w:eastAsia="宋体"/>
          <w:b/>
          <w:sz w:val="28"/>
          <w:szCs w:val="28"/>
        </w:rPr>
        <w:t>完善</w:t>
      </w:r>
    </w:p>
    <w:p w14:paraId="0D00F1E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首先是进行关乎民生的农村饮水巩固提升工程。围绕脱贫攻坚，针对性解决农村饮水工程存在的建设标准偏低、供水水源不稳定、水质超标、管理水平低等问题，达到水量、水质、方便程度、供水保证率四项评价标准及有条件的实现城乡供水一体化、有条件的规模化工程实现信息化管理等要求。</w:t>
      </w:r>
    </w:p>
    <w:p w14:paraId="5512692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未来五年将在巩固脱贫攻坚的基础上，实施乡村振兴战略。面向未来乡村振兴供水保障看齐，农村发展对水的需求从水质、水量上都提出了更高的要求。</w:t>
      </w:r>
    </w:p>
    <w:p w14:paraId="2285A112">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水源问题：各镇</w:t>
      </w:r>
      <w:r>
        <w:rPr>
          <w:rFonts w:hint="default" w:ascii="Times New Roman" w:hAnsi="Times New Roman" w:eastAsia="宋体" w:cs="Times New Roman"/>
          <w:sz w:val="28"/>
          <w:szCs w:val="28"/>
          <w:lang w:eastAsia="zh-CN"/>
        </w:rPr>
        <w:t>及</w:t>
      </w:r>
      <w:r>
        <w:rPr>
          <w:rFonts w:hint="default" w:ascii="Times New Roman" w:hAnsi="Times New Roman" w:eastAsia="宋体" w:cs="Times New Roman"/>
          <w:sz w:val="28"/>
          <w:szCs w:val="28"/>
        </w:rPr>
        <w:t>村庄现状居民生活用水大部分使用的是深井水，仅有少部分使用地表水</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随着经济社会的快速发展，对水资源的需求大幅增加。然近年来，全县基本没有建新的水源工程，现有地表水工程老化严重、利用率较低，水资源供需矛盾日益突出，并已成为泽州县经济社会发展、生活水平提高等的重要制约因素。</w:t>
      </w:r>
    </w:p>
    <w:p w14:paraId="6ECE61B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（二）管网问题：</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rPr>
        <w:t>县部分农村的供水管网建设年代久远，管材多为PVC及UPVC，随着年代久远，管道在未来可预见的范围内将会逐步出现老化、堵塞、渗漏等现象，需要分年度逐步对管网进行更新改造，以满足人民群众对未来生活用水的需求。</w:t>
      </w:r>
    </w:p>
    <w:p w14:paraId="44E00D1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（三）管理问题：</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rPr>
        <w:t>县农村饮水工程中水表安装尚未普及，为水费收缴及工程后续运行、维护、管理带来诸多不便。为了实现供水收费与供水设施运行、维护、管理的收支平衡，达到工程建成交付使用后的可持续、高效运行，需要逐步推广、普及水表。</w:t>
      </w:r>
    </w:p>
    <w:p w14:paraId="50E38AF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四）资金问题：农村饮水具有一定公益属性和社会属性，前期投入资金大，交付使用后运行、维护、管理需要持续投入，不以盈利为目的，这是农村饮水的基本属性。资金投入单靠县地方财政承担，压力大，难以实现跨越发展。</w:t>
      </w:r>
    </w:p>
    <w:p w14:paraId="0441BEBA">
      <w:pPr>
        <w:keepNext w:val="0"/>
        <w:keepLines w:val="0"/>
        <w:pageBreakBefore w:val="0"/>
        <w:widowControl w:val="0"/>
        <w:kinsoku/>
        <w:wordWrap/>
        <w:overflowPunct/>
        <w:topLinePunct w:val="0"/>
        <w:autoSpaceDE/>
        <w:autoSpaceDN/>
        <w:bidi w:val="0"/>
        <w:adjustRightInd w:val="0"/>
        <w:snapToGrid w:val="0"/>
        <w:spacing w:line="360" w:lineRule="auto"/>
        <w:ind w:firstLine="562"/>
        <w:textAlignment w:val="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3）高效农田灌溉占比不高</w:t>
      </w:r>
    </w:p>
    <w:p w14:paraId="31299047">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受</w:t>
      </w:r>
      <w:r>
        <w:rPr>
          <w:rFonts w:hint="eastAsia" w:ascii="Times New Roman" w:hAnsi="Times New Roman" w:cs="Times New Roman"/>
          <w:lang w:val="en-US" w:eastAsia="zh-CN"/>
        </w:rPr>
        <w:t>泽州</w:t>
      </w:r>
      <w:r>
        <w:rPr>
          <w:rFonts w:hint="default" w:ascii="Times New Roman" w:hAnsi="Times New Roman" w:cs="Times New Roman"/>
        </w:rPr>
        <w:t>县第二产业发展对第一产业发展的挤出效应影响，农民对农业的投入与产出比，远不如从第二产业获得的利益高，发展高效灌溉积极性不高。从农业灌溉能力来看，受</w:t>
      </w:r>
      <w:r>
        <w:rPr>
          <w:rFonts w:hint="eastAsia" w:cs="Times New Roman"/>
          <w:lang w:eastAsia="zh-CN"/>
        </w:rPr>
        <w:t>“</w:t>
      </w:r>
      <w:r>
        <w:rPr>
          <w:rFonts w:hint="default" w:ascii="Times New Roman" w:hAnsi="Times New Roman" w:cs="Times New Roman"/>
        </w:rPr>
        <w:t>靠天吃饭</w:t>
      </w:r>
      <w:r>
        <w:rPr>
          <w:rFonts w:hint="eastAsia" w:cs="Times New Roman"/>
          <w:lang w:eastAsia="zh-CN"/>
        </w:rPr>
        <w:t>”</w:t>
      </w:r>
      <w:r>
        <w:rPr>
          <w:rFonts w:hint="default" w:ascii="Times New Roman" w:hAnsi="Times New Roman" w:cs="Times New Roman"/>
        </w:rPr>
        <w:t>传统观念的影响，在实际工作中，无论从政府层面还是民间层面，还没有真正把水利建设作为发展现代农业首要基础条件，高效节水灌溉投入不足、占比不大。</w:t>
      </w:r>
    </w:p>
    <w:p w14:paraId="41C5528A">
      <w:pPr>
        <w:keepNext w:val="0"/>
        <w:keepLines w:val="0"/>
        <w:pageBreakBefore w:val="0"/>
        <w:widowControl w:val="0"/>
        <w:kinsoku/>
        <w:wordWrap/>
        <w:overflowPunct/>
        <w:topLinePunct w:val="0"/>
        <w:autoSpaceDE/>
        <w:autoSpaceDN/>
        <w:bidi w:val="0"/>
        <w:adjustRightInd w:val="0"/>
        <w:snapToGrid w:val="0"/>
        <w:spacing w:line="360" w:lineRule="auto"/>
        <w:ind w:firstLine="562"/>
        <w:textAlignment w:val="auto"/>
        <w:rPr>
          <w:rFonts w:hint="default" w:eastAsia="宋体"/>
          <w:b/>
          <w:sz w:val="28"/>
          <w:szCs w:val="28"/>
          <w:lang w:val="en-US" w:eastAsia="zh-CN"/>
        </w:rPr>
      </w:pPr>
      <w:r>
        <w:rPr>
          <w:rFonts w:hint="eastAsia" w:eastAsia="宋体"/>
          <w:b/>
          <w:sz w:val="28"/>
          <w:szCs w:val="28"/>
          <w:lang w:val="en-US" w:eastAsia="zh-CN"/>
        </w:rPr>
        <w:t>4）</w:t>
      </w:r>
      <w:r>
        <w:rPr>
          <w:rFonts w:eastAsia="宋体"/>
          <w:b/>
          <w:sz w:val="28"/>
          <w:szCs w:val="28"/>
        </w:rPr>
        <w:t>生态修复治理</w:t>
      </w:r>
      <w:r>
        <w:rPr>
          <w:rFonts w:hint="eastAsia" w:eastAsia="宋体"/>
          <w:b/>
          <w:sz w:val="28"/>
          <w:szCs w:val="28"/>
          <w:lang w:val="en-US" w:eastAsia="zh-CN"/>
        </w:rPr>
        <w:t>需进一步加强</w:t>
      </w:r>
    </w:p>
    <w:p w14:paraId="119262F0">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eastAsia" w:ascii="Times New Roman" w:hAnsi="Times New Roman" w:cs="Times New Roman"/>
          <w:lang w:val="en-US" w:eastAsia="zh-CN"/>
        </w:rPr>
        <w:t>泽州</w:t>
      </w:r>
      <w:r>
        <w:rPr>
          <w:rFonts w:hint="default" w:ascii="Times New Roman" w:hAnsi="Times New Roman" w:cs="Times New Roman"/>
        </w:rPr>
        <w:t>县煤炭储量丰富。煤矿采空区地表水量急剧减少、地下水被破坏，与居民饮水、农业用水、工业用水需求矛盾凸显，而且趋向于愈来愈尖锐；由于</w:t>
      </w:r>
      <w:r>
        <w:rPr>
          <w:rFonts w:hint="eastAsia" w:ascii="Times New Roman" w:hAnsi="Times New Roman" w:cs="Times New Roman"/>
          <w:lang w:val="en-US" w:eastAsia="zh-CN"/>
        </w:rPr>
        <w:t>泽州</w:t>
      </w:r>
      <w:r>
        <w:rPr>
          <w:rFonts w:hint="default" w:ascii="Times New Roman" w:hAnsi="Times New Roman" w:cs="Times New Roman"/>
        </w:rPr>
        <w:t>县的资源禀赋情况，未来若干年</w:t>
      </w:r>
      <w:r>
        <w:rPr>
          <w:rFonts w:hint="eastAsia" w:ascii="Times New Roman" w:hAnsi="Times New Roman" w:cs="Times New Roman"/>
          <w:lang w:val="en-US" w:eastAsia="zh-CN"/>
        </w:rPr>
        <w:t>泽州</w:t>
      </w:r>
      <w:r>
        <w:rPr>
          <w:rFonts w:hint="default" w:ascii="Times New Roman" w:hAnsi="Times New Roman" w:cs="Times New Roman"/>
        </w:rPr>
        <w:t>县以煤炭为主的能源格局不会有太大变化。然而，在煤炭开采的同时，与之伴随而来的水环境问题也日益严重，煤层开采引起的水资源短缺枯竭、水体污染等一系列问题都亟待解决。</w:t>
      </w:r>
    </w:p>
    <w:p w14:paraId="06C29B5B">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目前，全县仍有</w:t>
      </w:r>
      <w:r>
        <w:rPr>
          <w:rFonts w:hint="eastAsia" w:cs="Times New Roman"/>
          <w:lang w:val="en-US" w:eastAsia="zh-CN"/>
        </w:rPr>
        <w:t>132.20</w:t>
      </w:r>
      <w:r>
        <w:rPr>
          <w:rFonts w:hint="default" w:ascii="Times New Roman" w:hAnsi="Times New Roman" w:cs="Times New Roman"/>
          <w:highlight w:val="none"/>
        </w:rPr>
        <w:t>km</w:t>
      </w:r>
      <w:r>
        <w:rPr>
          <w:rFonts w:hint="default" w:ascii="Times New Roman" w:hAnsi="Times New Roman" w:cs="Times New Roman"/>
          <w:highlight w:val="none"/>
          <w:vertAlign w:val="superscript"/>
        </w:rPr>
        <w:t>2</w:t>
      </w:r>
      <w:r>
        <w:rPr>
          <w:rFonts w:hint="default" w:ascii="Times New Roman" w:hAnsi="Times New Roman" w:cs="Times New Roman"/>
          <w:highlight w:val="none"/>
        </w:rPr>
        <w:t>的</w:t>
      </w:r>
      <w:r>
        <w:rPr>
          <w:rFonts w:hint="default" w:ascii="Times New Roman" w:hAnsi="Times New Roman" w:cs="Times New Roman"/>
        </w:rPr>
        <w:t>水土流失面积有待治理，再加上近期开发建设项目增加，边治理边破坏现象仍然很严重。每年汛期因水力侵蚀造成的水土流失日趋严重，导致</w:t>
      </w:r>
      <w:r>
        <w:rPr>
          <w:rFonts w:hint="eastAsia" w:ascii="Times New Roman" w:hAnsi="Times New Roman" w:cs="Times New Roman"/>
          <w:lang w:val="en-US" w:eastAsia="zh-CN"/>
        </w:rPr>
        <w:t>泽州</w:t>
      </w:r>
      <w:r>
        <w:rPr>
          <w:rFonts w:hint="default" w:ascii="Times New Roman" w:hAnsi="Times New Roman" w:cs="Times New Roman"/>
        </w:rPr>
        <w:t>县土壤贫瘠，河道、水库淤积，生态环境恶化，洪涝灾害频发。</w:t>
      </w:r>
    </w:p>
    <w:p w14:paraId="681C7E4B">
      <w:pPr>
        <w:pStyle w:val="6"/>
      </w:pPr>
      <w:bookmarkStart w:id="26" w:name="_Toc36060042"/>
      <w:r>
        <w:rPr>
          <w:rFonts w:hint="eastAsia"/>
          <w:highlight w:val="none"/>
          <w:lang w:val="en-US" w:eastAsia="zh-CN"/>
        </w:rPr>
        <w:t>1.4.4</w:t>
      </w:r>
      <w:r>
        <w:rPr>
          <w:highlight w:val="none"/>
        </w:rPr>
        <w:t>水安全风险防控存在的问题</w:t>
      </w:r>
      <w:bookmarkEnd w:id="26"/>
    </w:p>
    <w:p w14:paraId="62A26C4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eastAsia="宋体"/>
          <w:sz w:val="28"/>
          <w:szCs w:val="28"/>
        </w:rPr>
        <w:t>水安全风险防控存在的问题主要可以概括为以下四个方面：</w:t>
      </w:r>
    </w:p>
    <w:p w14:paraId="100F7B54">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560"/>
        <w:textAlignment w:val="auto"/>
        <w:rPr>
          <w:rFonts w:eastAsia="宋体"/>
          <w:sz w:val="28"/>
          <w:szCs w:val="28"/>
        </w:rPr>
      </w:pPr>
      <w:bookmarkStart w:id="27" w:name="_Toc6573"/>
      <w:bookmarkStart w:id="28" w:name="_Toc22141"/>
      <w:bookmarkStart w:id="29" w:name="_Toc16582"/>
      <w:bookmarkStart w:id="30" w:name="_Toc7892"/>
      <w:bookmarkStart w:id="31" w:name="_Toc7761"/>
      <w:bookmarkStart w:id="32" w:name="_Toc17300"/>
      <w:bookmarkStart w:id="33" w:name="_Toc18354"/>
      <w:bookmarkStart w:id="34" w:name="_Toc2326"/>
      <w:bookmarkStart w:id="35" w:name="_Toc10016"/>
      <w:bookmarkStart w:id="36" w:name="_Toc24828"/>
      <w:bookmarkStart w:id="37" w:name="_Toc26594"/>
      <w:bookmarkStart w:id="38" w:name="_Toc7195"/>
      <w:bookmarkStart w:id="39" w:name="_Toc23210"/>
      <w:bookmarkStart w:id="40" w:name="_Toc4756"/>
      <w:bookmarkStart w:id="41" w:name="_Toc2924"/>
      <w:bookmarkStart w:id="42" w:name="_Toc13965"/>
      <w:r>
        <w:rPr>
          <w:rFonts w:eastAsia="宋体"/>
          <w:sz w:val="28"/>
          <w:szCs w:val="28"/>
        </w:rPr>
        <w:t>防洪抗旱减灾仍存在薄弱环节</w:t>
      </w:r>
      <w:bookmarkEnd w:id="27"/>
      <w:bookmarkEnd w:id="28"/>
      <w:bookmarkEnd w:id="29"/>
      <w:bookmarkEnd w:id="30"/>
      <w:r>
        <w:rPr>
          <w:rFonts w:eastAsia="宋体"/>
          <w:sz w:val="28"/>
          <w:szCs w:val="28"/>
        </w:rPr>
        <w:t>（防洪安全）</w:t>
      </w:r>
    </w:p>
    <w:p w14:paraId="0CCCB41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highlight w:val="none"/>
        </w:rPr>
      </w:pPr>
      <w:r>
        <w:rPr>
          <w:rFonts w:hint="eastAsia" w:eastAsia="宋体"/>
          <w:sz w:val="28"/>
          <w:szCs w:val="28"/>
          <w:highlight w:val="none"/>
          <w:lang w:val="en-US" w:eastAsia="zh-CN"/>
        </w:rPr>
        <w:t>泽州县</w:t>
      </w:r>
      <w:r>
        <w:rPr>
          <w:rFonts w:eastAsia="宋体"/>
          <w:sz w:val="28"/>
          <w:szCs w:val="28"/>
          <w:highlight w:val="none"/>
        </w:rPr>
        <w:t>还有多条中小河流未进行</w:t>
      </w:r>
      <w:r>
        <w:rPr>
          <w:rFonts w:hint="eastAsia" w:eastAsia="宋体"/>
          <w:sz w:val="28"/>
          <w:szCs w:val="28"/>
          <w:highlight w:val="none"/>
          <w:lang w:eastAsia="zh-CN"/>
        </w:rPr>
        <w:t>系统</w:t>
      </w:r>
      <w:r>
        <w:rPr>
          <w:rFonts w:eastAsia="宋体"/>
          <w:sz w:val="28"/>
          <w:szCs w:val="28"/>
          <w:highlight w:val="none"/>
        </w:rPr>
        <w:t>治理，大部分面积小于</w:t>
      </w:r>
      <w:r>
        <w:rPr>
          <w:rFonts w:hint="eastAsia" w:eastAsia="宋体"/>
          <w:sz w:val="28"/>
          <w:szCs w:val="28"/>
          <w:highlight w:val="none"/>
          <w:lang w:val="en-US" w:eastAsia="zh-CN"/>
        </w:rPr>
        <w:t>5</w:t>
      </w:r>
      <w:r>
        <w:rPr>
          <w:rFonts w:eastAsia="宋体"/>
          <w:sz w:val="28"/>
          <w:szCs w:val="28"/>
          <w:highlight w:val="none"/>
        </w:rPr>
        <w:t>0</w:t>
      </w:r>
      <w:r>
        <w:rPr>
          <w:rFonts w:hint="eastAsia" w:eastAsia="宋体"/>
          <w:sz w:val="28"/>
          <w:szCs w:val="28"/>
          <w:highlight w:val="none"/>
        </w:rPr>
        <w:t>k</w:t>
      </w:r>
      <w:r>
        <w:rPr>
          <w:rFonts w:eastAsia="宋体"/>
          <w:sz w:val="28"/>
          <w:szCs w:val="28"/>
          <w:highlight w:val="none"/>
        </w:rPr>
        <w:t>m</w:t>
      </w:r>
      <w:r>
        <w:rPr>
          <w:rFonts w:eastAsia="宋体"/>
          <w:sz w:val="28"/>
          <w:szCs w:val="28"/>
          <w:highlight w:val="none"/>
          <w:vertAlign w:val="superscript"/>
        </w:rPr>
        <w:t>2</w:t>
      </w:r>
      <w:r>
        <w:rPr>
          <w:rFonts w:eastAsia="宋体"/>
          <w:sz w:val="28"/>
          <w:szCs w:val="28"/>
          <w:highlight w:val="none"/>
        </w:rPr>
        <w:t>的乡村河道还没有治理。</w:t>
      </w:r>
      <w:r>
        <w:rPr>
          <w:rFonts w:hint="eastAsia" w:eastAsia="宋体"/>
          <w:sz w:val="28"/>
          <w:szCs w:val="28"/>
          <w:highlight w:val="none"/>
        </w:rPr>
        <w:t>部分小</w:t>
      </w:r>
      <w:r>
        <w:rPr>
          <w:rFonts w:eastAsia="宋体"/>
          <w:sz w:val="28"/>
          <w:szCs w:val="28"/>
          <w:highlight w:val="none"/>
        </w:rPr>
        <w:t>水库病险安全鉴定为</w:t>
      </w:r>
      <w:r>
        <w:rPr>
          <w:rFonts w:hint="eastAsia" w:eastAsia="宋体"/>
          <w:sz w:val="28"/>
          <w:szCs w:val="28"/>
          <w:highlight w:val="none"/>
          <w:lang w:eastAsia="zh-CN"/>
        </w:rPr>
        <w:t>“</w:t>
      </w:r>
      <w:r>
        <w:rPr>
          <w:rFonts w:eastAsia="宋体"/>
          <w:sz w:val="28"/>
          <w:szCs w:val="28"/>
          <w:highlight w:val="none"/>
        </w:rPr>
        <w:t>三类坝</w:t>
      </w:r>
      <w:r>
        <w:rPr>
          <w:rFonts w:hint="eastAsia" w:eastAsia="宋体"/>
          <w:sz w:val="28"/>
          <w:szCs w:val="28"/>
          <w:highlight w:val="none"/>
          <w:lang w:eastAsia="zh-CN"/>
        </w:rPr>
        <w:t>”</w:t>
      </w:r>
      <w:r>
        <w:rPr>
          <w:rFonts w:eastAsia="宋体"/>
          <w:sz w:val="28"/>
          <w:szCs w:val="28"/>
          <w:highlight w:val="none"/>
        </w:rPr>
        <w:t>，</w:t>
      </w:r>
      <w:r>
        <w:rPr>
          <w:rFonts w:hint="eastAsia" w:eastAsia="宋体"/>
          <w:sz w:val="28"/>
          <w:szCs w:val="28"/>
          <w:highlight w:val="none"/>
        </w:rPr>
        <w:t>有</w:t>
      </w:r>
      <w:r>
        <w:rPr>
          <w:rFonts w:eastAsia="宋体"/>
          <w:sz w:val="28"/>
          <w:szCs w:val="28"/>
          <w:highlight w:val="none"/>
        </w:rPr>
        <w:t>安全隐患，运行风险高。</w:t>
      </w:r>
    </w:p>
    <w:p w14:paraId="00D5081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2</w:t>
      </w:r>
      <w:r>
        <w:rPr>
          <w:rFonts w:hint="eastAsia" w:eastAsia="宋体"/>
          <w:sz w:val="28"/>
          <w:szCs w:val="28"/>
        </w:rPr>
        <w:t>.</w:t>
      </w:r>
      <w:r>
        <w:rPr>
          <w:rFonts w:eastAsia="宋体"/>
          <w:sz w:val="28"/>
          <w:szCs w:val="28"/>
        </w:rPr>
        <w:t>水资源节约集约利用仍有提升空间（水资源安全）</w:t>
      </w:r>
    </w:p>
    <w:p w14:paraId="370A9C3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highlight w:val="none"/>
        </w:rPr>
      </w:pPr>
      <w:r>
        <w:rPr>
          <w:rFonts w:hint="eastAsia" w:eastAsia="宋体"/>
          <w:sz w:val="28"/>
          <w:szCs w:val="28"/>
          <w:highlight w:val="none"/>
          <w:lang w:val="en-US" w:eastAsia="zh-CN"/>
        </w:rPr>
        <w:t>泽州县</w:t>
      </w:r>
      <w:r>
        <w:rPr>
          <w:rFonts w:eastAsia="宋体"/>
          <w:sz w:val="28"/>
          <w:szCs w:val="28"/>
          <w:highlight w:val="none"/>
        </w:rPr>
        <w:t>一方面水资源匮乏，一方面</w:t>
      </w:r>
      <w:r>
        <w:rPr>
          <w:rFonts w:hint="eastAsia" w:eastAsia="宋体"/>
          <w:sz w:val="28"/>
          <w:szCs w:val="28"/>
          <w:highlight w:val="none"/>
          <w:lang w:eastAsia="zh-CN"/>
        </w:rPr>
        <w:t>沁丹河</w:t>
      </w:r>
      <w:r>
        <w:rPr>
          <w:rFonts w:eastAsia="宋体"/>
          <w:sz w:val="28"/>
          <w:szCs w:val="28"/>
          <w:highlight w:val="none"/>
        </w:rPr>
        <w:t>水利用尚不充分，区域经济社会布局与水资源承载力不相匹配，地表水、地下水、非常规水等水源的供用水结构还不合理。用水效率仍有提高空间，节水水平与国内外先进水平还存较大差距，高效节水灌溉面积占比仍较少，尚有较大节水潜力。</w:t>
      </w:r>
    </w:p>
    <w:p w14:paraId="7F647090">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供水安全保障体系需进一步完善</w:t>
      </w:r>
      <w:bookmarkEnd w:id="31"/>
      <w:bookmarkEnd w:id="32"/>
      <w:bookmarkEnd w:id="33"/>
      <w:bookmarkEnd w:id="34"/>
      <w:r>
        <w:rPr>
          <w:rFonts w:eastAsia="宋体"/>
          <w:sz w:val="28"/>
          <w:szCs w:val="28"/>
        </w:rPr>
        <w:t>（供水安全）</w:t>
      </w:r>
    </w:p>
    <w:p w14:paraId="58C5E0B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与大水网配套的县域小水网工程等供水体系建设</w:t>
      </w:r>
      <w:r>
        <w:rPr>
          <w:rFonts w:hint="default" w:ascii="Times New Roman" w:hAnsi="Times New Roman" w:eastAsia="宋体" w:cs="Times New Roman"/>
          <w:sz w:val="28"/>
          <w:szCs w:val="28"/>
          <w:lang w:eastAsia="zh-CN"/>
        </w:rPr>
        <w:t>相对滞后</w:t>
      </w:r>
      <w:r>
        <w:rPr>
          <w:rFonts w:hint="default" w:ascii="Times New Roman" w:hAnsi="Times New Roman" w:eastAsia="宋体" w:cs="Times New Roman"/>
          <w:sz w:val="28"/>
          <w:szCs w:val="28"/>
        </w:rPr>
        <w:t>。农村饮水工程标准及运行管理水平偏低，还有部分工程存在管网老化、计量设施缺失、输水配套管网工程建设滞后等问题。高效节水灌溉投入不足、占比不大。</w:t>
      </w:r>
    </w:p>
    <w:bookmarkEnd w:id="35"/>
    <w:bookmarkEnd w:id="36"/>
    <w:bookmarkEnd w:id="37"/>
    <w:bookmarkEnd w:id="38"/>
    <w:p w14:paraId="14331A28">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河流生态环境还未根本好转</w:t>
      </w:r>
      <w:bookmarkEnd w:id="39"/>
      <w:bookmarkEnd w:id="40"/>
      <w:bookmarkEnd w:id="41"/>
      <w:bookmarkEnd w:id="42"/>
      <w:r>
        <w:rPr>
          <w:rFonts w:eastAsia="宋体"/>
          <w:sz w:val="28"/>
          <w:szCs w:val="28"/>
        </w:rPr>
        <w:t>（水生态安全）</w:t>
      </w:r>
    </w:p>
    <w:p w14:paraId="3309CB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主要河流河道不同程度存在地表径流减少，河道渠化等问题。煤层开采引起的水资源短缺枯竭、水体污染等一系列问题都亟待解决。每年汛期因水力侵蚀造成的水土流失日趋严重，导致</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rPr>
        <w:t>县土壤贫瘠，河道、水库淤积，生态环境恶化，洪涝灾害频发。</w:t>
      </w:r>
    </w:p>
    <w:p w14:paraId="08909371">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560" w:firstLine="0" w:firstLineChars="0"/>
        <w:textAlignment w:val="auto"/>
        <w:rPr>
          <w:rFonts w:eastAsia="宋体"/>
          <w:sz w:val="28"/>
          <w:szCs w:val="28"/>
        </w:rPr>
      </w:pPr>
      <w:r>
        <w:rPr>
          <w:rFonts w:eastAsia="宋体"/>
          <w:sz w:val="28"/>
          <w:szCs w:val="28"/>
        </w:rPr>
        <w:t>涉水空间管控力量薄弱</w:t>
      </w:r>
    </w:p>
    <w:p w14:paraId="3A45282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河湖水系未完成确权，部分河湖和水库工程管理范围边界不清、土地权属不明，影响了河湖和水库的行洪安全。乡村河道还普遍存在河床淤积严重、违章建筑和随意倾倒生活垃圾与建筑废弃物等现象。河湖监测站点仍然不足，监测信息数量有限，信息化融合程度不高。水土保持监管仍需加强，边治理边破坏的现象时有发生。水利投资缺口仍然较大，投资结构亟待调整。</w:t>
      </w:r>
    </w:p>
    <w:p w14:paraId="043051CB">
      <w:pPr>
        <w:widowControl/>
        <w:adjustRightInd/>
        <w:snapToGrid/>
        <w:spacing w:line="580" w:lineRule="exact"/>
        <w:ind w:firstLine="0" w:firstLineChars="0"/>
        <w:jc w:val="left"/>
        <w:rPr>
          <w:rFonts w:eastAsia="宋体"/>
          <w:sz w:val="28"/>
          <w:szCs w:val="28"/>
        </w:rPr>
      </w:pPr>
      <w:r>
        <w:rPr>
          <w:rFonts w:eastAsia="宋体"/>
          <w:sz w:val="28"/>
          <w:szCs w:val="28"/>
        </w:rPr>
        <w:br w:type="page"/>
      </w:r>
    </w:p>
    <w:p w14:paraId="4A5FB575">
      <w:pPr>
        <w:pStyle w:val="4"/>
      </w:pPr>
      <w:bookmarkStart w:id="43" w:name="_Toc36060043"/>
      <w:bookmarkStart w:id="44" w:name="_Toc2684"/>
      <w:bookmarkStart w:id="45" w:name="_Toc36060061"/>
      <w:r>
        <w:rPr>
          <w:rFonts w:hint="eastAsia"/>
          <w:lang w:val="en-US" w:eastAsia="zh-CN"/>
        </w:rPr>
        <w:t>2</w:t>
      </w:r>
      <w:r>
        <w:t>形势与挑战</w:t>
      </w:r>
      <w:bookmarkEnd w:id="43"/>
      <w:bookmarkEnd w:id="44"/>
    </w:p>
    <w:p w14:paraId="78E529C8">
      <w:pPr>
        <w:pStyle w:val="5"/>
      </w:pPr>
      <w:bookmarkStart w:id="46" w:name="_Toc20002"/>
      <w:bookmarkStart w:id="47" w:name="_Toc36060044"/>
      <w:r>
        <w:rPr>
          <w:rFonts w:hint="eastAsia"/>
          <w:lang w:val="en-US" w:eastAsia="zh-CN"/>
        </w:rPr>
        <w:t>2.1涉水</w:t>
      </w:r>
      <w:r>
        <w:t>空间管控形势与要求</w:t>
      </w:r>
      <w:bookmarkEnd w:id="46"/>
      <w:bookmarkEnd w:id="47"/>
    </w:p>
    <w:p w14:paraId="277E51E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新时代我国社会经济发展态势与国家战略实施的总体要求和《关于统一规划体系更好发挥国家发展规划战略导向作用的意见》《关于建立国土空间规划体系并监督实施的若干意见》提出：建立以国家发展规划为统领，以空间规划为基础，以专项规划、区域规划为支撑，由国家、省、市县各级规划共同组成，定位准确，边界清晰，功能互补的国家规划体系。水利部为贯彻落实中央关于统一规划体系，适应新形势下</w:t>
      </w:r>
      <w:r>
        <w:rPr>
          <w:rFonts w:hint="eastAsia" w:eastAsia="宋体"/>
          <w:sz w:val="28"/>
          <w:szCs w:val="28"/>
          <w:lang w:eastAsia="zh-CN"/>
        </w:rPr>
        <w:t>“</w:t>
      </w:r>
      <w:r>
        <w:rPr>
          <w:rFonts w:eastAsia="宋体"/>
          <w:sz w:val="28"/>
          <w:szCs w:val="28"/>
        </w:rPr>
        <w:t>多规合一</w:t>
      </w:r>
      <w:r>
        <w:rPr>
          <w:rFonts w:hint="eastAsia" w:eastAsia="宋体"/>
          <w:sz w:val="28"/>
          <w:szCs w:val="28"/>
          <w:lang w:eastAsia="zh-CN"/>
        </w:rPr>
        <w:t>”</w:t>
      </w:r>
      <w:r>
        <w:rPr>
          <w:rFonts w:eastAsia="宋体"/>
          <w:sz w:val="28"/>
          <w:szCs w:val="28"/>
        </w:rPr>
        <w:t>要求，开展水利基础设施空间布局规划编制工作，并印发水利基础设施空间布局规划编制工作方案。方案要求做好水利规划与国土空间规划之间的衔接，为水利工程补短板、水利行业强监管提供规划依据和基础。</w:t>
      </w:r>
    </w:p>
    <w:p w14:paraId="08B7D85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在《关于统一规划体系更好发挥国家发展规划战略导向作用的意见》</w:t>
      </w:r>
      <w:r>
        <w:rPr>
          <w:rFonts w:hint="eastAsia" w:eastAsia="宋体" w:cs="Times New Roman"/>
          <w:sz w:val="28"/>
          <w:szCs w:val="28"/>
          <w:lang w:eastAsia="zh-CN"/>
        </w:rPr>
        <w:t>、</w:t>
      </w:r>
      <w:r>
        <w:rPr>
          <w:rFonts w:hint="default" w:ascii="Times New Roman" w:hAnsi="Times New Roman" w:eastAsia="宋体" w:cs="Times New Roman"/>
          <w:sz w:val="28"/>
          <w:szCs w:val="28"/>
        </w:rPr>
        <w:t>《关于建立国土空间规划体系并监督实施的若干意见》等一系列重要文件的指导下，</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已</w:t>
      </w:r>
      <w:r>
        <w:rPr>
          <w:rFonts w:hint="eastAsia" w:ascii="Times New Roman" w:hAnsi="Times New Roman" w:eastAsia="宋体" w:cs="Times New Roman"/>
          <w:sz w:val="28"/>
          <w:szCs w:val="28"/>
          <w:lang w:val="en-US" w:eastAsia="zh-CN"/>
        </w:rPr>
        <w:t>完成</w:t>
      </w:r>
      <w:r>
        <w:rPr>
          <w:rFonts w:hint="default" w:ascii="Times New Roman" w:hAnsi="Times New Roman" w:eastAsia="宋体" w:cs="Times New Roman"/>
          <w:sz w:val="28"/>
          <w:szCs w:val="28"/>
        </w:rPr>
        <w:t>了省级国土空间规划的编制工作，</w:t>
      </w:r>
      <w:r>
        <w:rPr>
          <w:rFonts w:hint="eastAsia" w:eastAsia="宋体" w:cs="Times New Roman"/>
          <w:sz w:val="28"/>
          <w:szCs w:val="28"/>
          <w:lang w:eastAsia="zh-CN"/>
        </w:rPr>
        <w:t>“</w:t>
      </w:r>
      <w:r>
        <w:rPr>
          <w:rFonts w:hint="default" w:ascii="Times New Roman" w:hAnsi="Times New Roman" w:eastAsia="宋体" w:cs="Times New Roman"/>
          <w:sz w:val="28"/>
          <w:szCs w:val="28"/>
        </w:rPr>
        <w:t>十四五</w:t>
      </w:r>
      <w:r>
        <w:rPr>
          <w:rFonts w:hint="eastAsia" w:eastAsia="宋体" w:cs="Times New Roman"/>
          <w:sz w:val="28"/>
          <w:szCs w:val="28"/>
          <w:lang w:eastAsia="zh-CN"/>
        </w:rPr>
        <w:t>”</w:t>
      </w:r>
      <w:r>
        <w:rPr>
          <w:rFonts w:hint="default" w:ascii="Times New Roman" w:hAnsi="Times New Roman" w:eastAsia="宋体" w:cs="Times New Roman"/>
          <w:sz w:val="28"/>
          <w:szCs w:val="28"/>
        </w:rPr>
        <w:t>期间，</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水利改革发展将以习近平新时代中国特色社会主义思想为指导，遵循</w:t>
      </w:r>
      <w:r>
        <w:rPr>
          <w:rFonts w:hint="eastAsia" w:eastAsia="宋体" w:cs="Times New Roman"/>
          <w:sz w:val="28"/>
          <w:szCs w:val="28"/>
          <w:lang w:eastAsia="zh-CN"/>
        </w:rPr>
        <w:t>“</w:t>
      </w:r>
      <w:r>
        <w:rPr>
          <w:rFonts w:hint="default" w:ascii="Times New Roman" w:hAnsi="Times New Roman" w:eastAsia="宋体" w:cs="Times New Roman"/>
          <w:sz w:val="28"/>
          <w:szCs w:val="28"/>
        </w:rPr>
        <w:t>节水优</w:t>
      </w:r>
      <w:r>
        <w:rPr>
          <w:rFonts w:hint="default" w:ascii="Times New Roman" w:hAnsi="Times New Roman" w:eastAsia="宋体" w:cs="Times New Roman"/>
          <w:sz w:val="28"/>
          <w:szCs w:val="28"/>
          <w:lang w:eastAsia="zh-CN"/>
        </w:rPr>
        <w:t>先</w:t>
      </w:r>
      <w:r>
        <w:rPr>
          <w:rFonts w:hint="default" w:ascii="Times New Roman" w:hAnsi="Times New Roman" w:eastAsia="宋体" w:cs="Times New Roman"/>
          <w:sz w:val="28"/>
          <w:szCs w:val="28"/>
        </w:rPr>
        <w:t>、空间均衡、系统治理、两手发力</w:t>
      </w:r>
      <w:r>
        <w:rPr>
          <w:rFonts w:hint="eastAsia" w:eastAsia="宋体" w:cs="Times New Roman"/>
          <w:sz w:val="28"/>
          <w:szCs w:val="28"/>
          <w:lang w:eastAsia="zh-CN"/>
        </w:rPr>
        <w:t>”</w:t>
      </w:r>
      <w:r>
        <w:rPr>
          <w:rFonts w:hint="default" w:ascii="Times New Roman" w:hAnsi="Times New Roman" w:eastAsia="宋体" w:cs="Times New Roman"/>
          <w:sz w:val="28"/>
          <w:szCs w:val="28"/>
        </w:rPr>
        <w:t>治水方针，牢固树立</w:t>
      </w:r>
      <w:r>
        <w:rPr>
          <w:rFonts w:hint="eastAsia" w:eastAsia="宋体" w:cs="Times New Roman"/>
          <w:sz w:val="28"/>
          <w:szCs w:val="28"/>
          <w:lang w:eastAsia="zh-CN"/>
        </w:rPr>
        <w:t>“</w:t>
      </w:r>
      <w:r>
        <w:rPr>
          <w:rFonts w:hint="default" w:ascii="Times New Roman" w:hAnsi="Times New Roman" w:eastAsia="宋体" w:cs="Times New Roman"/>
          <w:sz w:val="28"/>
          <w:szCs w:val="28"/>
        </w:rPr>
        <w:t>绿水青山就是金山银山</w:t>
      </w:r>
      <w:r>
        <w:rPr>
          <w:rFonts w:hint="eastAsia" w:eastAsia="宋体" w:cs="Times New Roman"/>
          <w:sz w:val="28"/>
          <w:szCs w:val="28"/>
          <w:lang w:eastAsia="zh-CN"/>
        </w:rPr>
        <w:t>”</w:t>
      </w:r>
      <w:r>
        <w:rPr>
          <w:rFonts w:hint="default" w:ascii="Times New Roman" w:hAnsi="Times New Roman" w:eastAsia="宋体" w:cs="Times New Roman"/>
          <w:sz w:val="28"/>
          <w:szCs w:val="28"/>
        </w:rPr>
        <w:t>理念，以习近平总书记在黄河流域生态保护和高质量发展座谈会和视察山西讲话精神为指引，</w:t>
      </w:r>
      <w:r>
        <w:rPr>
          <w:rFonts w:hint="default" w:ascii="Times New Roman" w:hAnsi="Times New Roman" w:eastAsia="宋体" w:cs="Times New Roman"/>
          <w:sz w:val="28"/>
          <w:szCs w:val="28"/>
          <w:lang w:eastAsia="zh-CN"/>
        </w:rPr>
        <w:t>把握</w:t>
      </w:r>
      <w:r>
        <w:rPr>
          <w:rFonts w:hint="eastAsia" w:eastAsia="宋体" w:cs="Times New Roman"/>
          <w:sz w:val="28"/>
          <w:szCs w:val="28"/>
          <w:lang w:eastAsia="zh-CN"/>
        </w:rPr>
        <w:t>“</w:t>
      </w:r>
      <w:r>
        <w:rPr>
          <w:rFonts w:hint="default" w:ascii="Times New Roman" w:hAnsi="Times New Roman" w:eastAsia="宋体" w:cs="Times New Roman"/>
          <w:sz w:val="28"/>
          <w:szCs w:val="28"/>
        </w:rPr>
        <w:t>水利工程补短板、水利行业强监管</w:t>
      </w:r>
      <w:r>
        <w:rPr>
          <w:rFonts w:hint="eastAsia" w:eastAsia="宋体" w:cs="Times New Roman"/>
          <w:sz w:val="28"/>
          <w:szCs w:val="28"/>
          <w:lang w:eastAsia="zh-CN"/>
        </w:rPr>
        <w:t>”</w:t>
      </w:r>
      <w:r>
        <w:rPr>
          <w:rFonts w:hint="default" w:ascii="Times New Roman" w:hAnsi="Times New Roman" w:eastAsia="宋体" w:cs="Times New Roman"/>
          <w:sz w:val="28"/>
          <w:szCs w:val="28"/>
        </w:rPr>
        <w:t>水利改革发展总基调，积极践行新时期治水思路，大力推进水利改革发展，切实提高水安全保障能力</w:t>
      </w:r>
      <w:r>
        <w:rPr>
          <w:rFonts w:hint="default" w:ascii="Times New Roman" w:hAnsi="Times New Roman" w:eastAsia="宋体" w:cs="Times New Roman"/>
          <w:sz w:val="28"/>
          <w:szCs w:val="28"/>
          <w:lang w:eastAsia="zh-CN"/>
        </w:rPr>
        <w:t>，高质量、高标准深入谋划</w:t>
      </w:r>
      <w:r>
        <w:rPr>
          <w:rFonts w:hint="eastAsia" w:ascii="Times New Roman" w:hAnsi="Times New Roman" w:eastAsia="宋体" w:cs="Times New Roman"/>
          <w:sz w:val="28"/>
          <w:szCs w:val="28"/>
          <w:highlight w:val="none"/>
          <w:lang w:val="en-US" w:eastAsia="zh-CN"/>
        </w:rPr>
        <w:t>泽州</w:t>
      </w:r>
      <w:r>
        <w:rPr>
          <w:rFonts w:hint="default" w:ascii="Times New Roman" w:hAnsi="Times New Roman" w:eastAsia="宋体" w:cs="Times New Roman"/>
          <w:sz w:val="28"/>
          <w:szCs w:val="28"/>
          <w:highlight w:val="none"/>
          <w:lang w:eastAsia="zh-CN"/>
        </w:rPr>
        <w:t>县</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十四五</w:t>
      </w:r>
      <w:r>
        <w:rPr>
          <w:rFonts w:hint="eastAsia" w:eastAsia="宋体" w:cs="Times New Roman"/>
          <w:sz w:val="28"/>
          <w:szCs w:val="28"/>
          <w:highlight w:val="none"/>
          <w:lang w:eastAsia="zh-CN"/>
        </w:rPr>
        <w:t>”</w:t>
      </w:r>
      <w:r>
        <w:rPr>
          <w:rFonts w:hint="default" w:ascii="Times New Roman" w:hAnsi="Times New Roman" w:eastAsia="宋体" w:cs="Times New Roman"/>
          <w:sz w:val="28"/>
          <w:szCs w:val="28"/>
          <w:highlight w:val="none"/>
        </w:rPr>
        <w:t>高质量发展及水利事业发展</w:t>
      </w:r>
      <w:r>
        <w:rPr>
          <w:rFonts w:hint="default" w:ascii="Times New Roman" w:hAnsi="Times New Roman" w:eastAsia="宋体" w:cs="Times New Roman"/>
          <w:sz w:val="28"/>
          <w:szCs w:val="28"/>
          <w:highlight w:val="none"/>
          <w:lang w:eastAsia="zh-CN"/>
        </w:rPr>
        <w:t>规划</w:t>
      </w:r>
      <w:r>
        <w:rPr>
          <w:rFonts w:hint="default" w:ascii="Times New Roman" w:hAnsi="Times New Roman" w:eastAsia="宋体" w:cs="Times New Roman"/>
          <w:sz w:val="28"/>
          <w:szCs w:val="28"/>
        </w:rPr>
        <w:t>。</w:t>
      </w:r>
      <w:r>
        <w:rPr>
          <w:rFonts w:hint="eastAsia" w:eastAsia="宋体" w:cs="Times New Roman"/>
          <w:sz w:val="28"/>
          <w:szCs w:val="28"/>
          <w:lang w:eastAsia="zh-CN"/>
        </w:rPr>
        <w:t>“</w:t>
      </w:r>
      <w:r>
        <w:rPr>
          <w:rFonts w:hint="default" w:ascii="Times New Roman" w:hAnsi="Times New Roman" w:eastAsia="宋体" w:cs="Times New Roman"/>
          <w:sz w:val="28"/>
          <w:szCs w:val="28"/>
        </w:rPr>
        <w:t>十四五</w:t>
      </w:r>
      <w:r>
        <w:rPr>
          <w:rFonts w:hint="eastAsia" w:eastAsia="宋体" w:cs="Times New Roman"/>
          <w:sz w:val="28"/>
          <w:szCs w:val="28"/>
          <w:lang w:eastAsia="zh-CN"/>
        </w:rPr>
        <w:t>”</w:t>
      </w:r>
      <w:r>
        <w:rPr>
          <w:rFonts w:hint="eastAsia" w:eastAsia="宋体" w:cs="Times New Roman"/>
          <w:sz w:val="28"/>
          <w:szCs w:val="28"/>
          <w:lang w:val="en-US" w:eastAsia="zh-CN"/>
        </w:rPr>
        <w:t>期间</w:t>
      </w:r>
      <w:r>
        <w:rPr>
          <w:rFonts w:hint="eastAsia" w:ascii="Times New Roman" w:hAnsi="Times New Roman"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将着重提升水生态修复与保护，持续改善农村人居环境，以</w:t>
      </w:r>
      <w:r>
        <w:rPr>
          <w:rFonts w:hint="eastAsia" w:eastAsia="宋体" w:cs="Times New Roman"/>
          <w:sz w:val="28"/>
          <w:szCs w:val="28"/>
          <w:lang w:eastAsia="zh-CN"/>
        </w:rPr>
        <w:t>“</w:t>
      </w:r>
      <w:r>
        <w:rPr>
          <w:rFonts w:hint="default" w:ascii="Times New Roman" w:hAnsi="Times New Roman" w:eastAsia="宋体" w:cs="Times New Roman"/>
          <w:sz w:val="28"/>
          <w:szCs w:val="28"/>
        </w:rPr>
        <w:t>节水优先、空间均衡、系统治理、两手发力</w:t>
      </w:r>
      <w:r>
        <w:rPr>
          <w:rFonts w:hint="eastAsia" w:eastAsia="宋体" w:cs="Times New Roman"/>
          <w:sz w:val="28"/>
          <w:szCs w:val="28"/>
          <w:lang w:eastAsia="zh-CN"/>
        </w:rPr>
        <w:t>”</w:t>
      </w:r>
      <w:r>
        <w:rPr>
          <w:rFonts w:hint="default" w:ascii="Times New Roman" w:hAnsi="Times New Roman" w:eastAsia="宋体" w:cs="Times New Roman"/>
          <w:sz w:val="28"/>
          <w:szCs w:val="28"/>
        </w:rPr>
        <w:t>为治水思路，把握</w:t>
      </w:r>
      <w:r>
        <w:rPr>
          <w:rFonts w:hint="eastAsia" w:eastAsia="宋体" w:cs="Times New Roman"/>
          <w:sz w:val="28"/>
          <w:szCs w:val="28"/>
          <w:lang w:eastAsia="zh-CN"/>
        </w:rPr>
        <w:t>“</w:t>
      </w:r>
      <w:r>
        <w:rPr>
          <w:rFonts w:hint="default" w:ascii="Times New Roman" w:hAnsi="Times New Roman" w:eastAsia="宋体" w:cs="Times New Roman"/>
          <w:sz w:val="28"/>
          <w:szCs w:val="28"/>
        </w:rPr>
        <w:t>水利工程补短板，水利行业强监管</w:t>
      </w:r>
      <w:r>
        <w:rPr>
          <w:rFonts w:hint="eastAsia" w:eastAsia="宋体" w:cs="Times New Roman"/>
          <w:sz w:val="28"/>
          <w:szCs w:val="28"/>
          <w:lang w:eastAsia="zh-CN"/>
        </w:rPr>
        <w:t>”</w:t>
      </w:r>
      <w:r>
        <w:rPr>
          <w:rFonts w:hint="default" w:ascii="Times New Roman" w:hAnsi="Times New Roman" w:eastAsia="宋体" w:cs="Times New Roman"/>
          <w:sz w:val="28"/>
          <w:szCs w:val="28"/>
        </w:rPr>
        <w:t>总基调，把水安全提高到战略高度看待，着力解决由水资源短缺、水质污染等带来的水安全问题，重点高质量水利发展，不断深化水利改革，加快建设节水型社会，着力提高水旱灾害综合防治能力、水资源保护能力。</w:t>
      </w:r>
    </w:p>
    <w:p w14:paraId="384DF048">
      <w:pPr>
        <w:pStyle w:val="5"/>
      </w:pPr>
      <w:bookmarkStart w:id="48" w:name="_Toc36060045"/>
      <w:bookmarkStart w:id="49" w:name="_Toc32011"/>
      <w:r>
        <w:rPr>
          <w:rFonts w:hint="eastAsia"/>
          <w:lang w:val="en-US" w:eastAsia="zh-CN"/>
        </w:rPr>
        <w:t>2.2</w:t>
      </w:r>
      <w:r>
        <w:t>防洪安全保障治理要求</w:t>
      </w:r>
      <w:bookmarkEnd w:id="48"/>
      <w:bookmarkEnd w:id="49"/>
    </w:p>
    <w:p w14:paraId="25D03E9A">
      <w:pPr>
        <w:pStyle w:val="180"/>
        <w:keepNext w:val="0"/>
        <w:keepLines w:val="0"/>
        <w:pageBreakBefore w:val="0"/>
        <w:widowControl/>
        <w:kinsoku/>
        <w:wordWrap/>
        <w:overflowPunct/>
        <w:topLinePunct w:val="0"/>
        <w:autoSpaceDE/>
        <w:autoSpaceDN/>
        <w:bidi w:val="0"/>
        <w:adjustRightInd/>
        <w:snapToGrid w:val="0"/>
        <w:ind w:firstLine="560"/>
        <w:textAlignment w:val="auto"/>
        <w:rPr>
          <w:rFonts w:hint="eastAsia" w:ascii="Times New Roman" w:hAnsi="Times New Roman"/>
          <w:lang w:eastAsia="zh-CN"/>
        </w:rPr>
      </w:pPr>
      <w:r>
        <w:rPr>
          <w:rFonts w:hint="eastAsia" w:ascii="Times New Roman" w:hAnsi="Times New Roman"/>
          <w:lang w:val="en-US" w:eastAsia="zh-CN"/>
        </w:rPr>
        <w:t>泽州县</w:t>
      </w:r>
      <w:r>
        <w:rPr>
          <w:rFonts w:hint="eastAsia" w:ascii="Times New Roman" w:hAnsi="Times New Roman"/>
          <w:lang w:eastAsia="zh-CN"/>
        </w:rPr>
        <w:t>以丹河、</w:t>
      </w:r>
      <w:r>
        <w:rPr>
          <w:rFonts w:hint="eastAsia" w:ascii="Times New Roman" w:hAnsi="Times New Roman"/>
          <w:lang w:val="en-US" w:eastAsia="zh-CN"/>
        </w:rPr>
        <w:t>长河</w:t>
      </w:r>
      <w:r>
        <w:rPr>
          <w:rFonts w:hint="eastAsia" w:ascii="Times New Roman" w:hAnsi="Times New Roman"/>
          <w:lang w:eastAsia="zh-CN"/>
        </w:rPr>
        <w:t>为主，其支流呈羽毛状辐射全境，此外还有海河流域部分河流。</w:t>
      </w:r>
    </w:p>
    <w:p w14:paraId="60F79400">
      <w:pPr>
        <w:pStyle w:val="180"/>
        <w:keepNext w:val="0"/>
        <w:keepLines w:val="0"/>
        <w:pageBreakBefore w:val="0"/>
        <w:widowControl/>
        <w:kinsoku/>
        <w:wordWrap/>
        <w:overflowPunct/>
        <w:topLinePunct w:val="0"/>
        <w:autoSpaceDE/>
        <w:autoSpaceDN/>
        <w:bidi w:val="0"/>
        <w:adjustRightInd/>
        <w:snapToGrid w:val="0"/>
        <w:ind w:firstLine="560"/>
        <w:textAlignment w:val="auto"/>
        <w:rPr>
          <w:rFonts w:hint="eastAsia" w:ascii="Times New Roman" w:hAnsi="Times New Roman" w:eastAsia="宋体"/>
          <w:lang w:val="en-US" w:eastAsia="zh-CN"/>
        </w:rPr>
      </w:pPr>
      <w:r>
        <w:rPr>
          <w:rFonts w:hint="eastAsia" w:ascii="Times New Roman" w:hAnsi="Times New Roman" w:eastAsia="宋体"/>
          <w:lang w:val="en-US" w:eastAsia="zh-CN"/>
        </w:rPr>
        <w:t>经过全国中小河流治理，</w:t>
      </w:r>
      <w:r>
        <w:rPr>
          <w:rFonts w:hint="eastAsia" w:ascii="Times New Roman" w:hAnsi="Times New Roman"/>
          <w:lang w:val="en-US" w:eastAsia="zh-CN"/>
        </w:rPr>
        <w:t>泽州</w:t>
      </w:r>
      <w:r>
        <w:rPr>
          <w:rFonts w:hint="eastAsia" w:ascii="Times New Roman" w:hAnsi="Times New Roman" w:eastAsia="宋体"/>
          <w:lang w:val="en-US" w:eastAsia="zh-CN"/>
        </w:rPr>
        <w:t>县丹河干流和主要支流，大部分已达防洪标准，有些河流仍然存在河道淤积、堤防破损坍塌</w:t>
      </w:r>
      <w:r>
        <w:rPr>
          <w:rFonts w:hint="eastAsia" w:ascii="Times New Roman" w:hAnsi="Times New Roman"/>
          <w:lang w:val="en-US" w:eastAsia="zh-CN"/>
        </w:rPr>
        <w:t>、</w:t>
      </w:r>
      <w:r>
        <w:rPr>
          <w:rFonts w:hint="eastAsia" w:ascii="Times New Roman" w:hAnsi="Times New Roman" w:eastAsia="宋体"/>
          <w:lang w:val="en-US" w:eastAsia="zh-CN"/>
        </w:rPr>
        <w:t>防洪标准不达标的问题；部分集镇和边山峪口存在防洪隐患；部分河段受人为建设影响，挤占河道行洪空间，河道缺失自然生态特性，缺乏统一规划和管理，防洪体系有待完善。监测预警体系不完善，全县现有水文站主要监测沁丹河流量，白水河、长河等河流未设置水文站，覆盖不全，难以准确掌握主要河道洪水情况，部分小型水库未完成雨水情测报及大坝安全监测设施建设，监测设备不能有效覆盖重点危险村。</w:t>
      </w:r>
    </w:p>
    <w:p w14:paraId="33D37645">
      <w:pPr>
        <w:pStyle w:val="180"/>
        <w:keepNext w:val="0"/>
        <w:keepLines w:val="0"/>
        <w:pageBreakBefore w:val="0"/>
        <w:widowControl/>
        <w:kinsoku/>
        <w:wordWrap/>
        <w:overflowPunct/>
        <w:topLinePunct w:val="0"/>
        <w:autoSpaceDE/>
        <w:autoSpaceDN/>
        <w:bidi w:val="0"/>
        <w:adjustRightInd/>
        <w:snapToGrid w:val="0"/>
        <w:ind w:firstLine="560"/>
        <w:textAlignment w:val="auto"/>
        <w:rPr>
          <w:rFonts w:hint="eastAsia" w:ascii="Times New Roman" w:hAnsi="Times New Roman" w:eastAsia="宋体"/>
          <w:lang w:val="en-US" w:eastAsia="zh-CN"/>
        </w:rPr>
      </w:pPr>
      <w:r>
        <w:rPr>
          <w:rFonts w:hint="eastAsia" w:ascii="Times New Roman" w:hAnsi="Times New Roman" w:eastAsia="宋体"/>
          <w:lang w:val="en-US" w:eastAsia="zh-CN"/>
        </w:rPr>
        <w:t>坚持不懈开展河道治理及清淤疏浚，完成白洋泉河、巴公河、白水河、长河防洪治理任务，启动白水河泽州县段河道治理工程、白洋泉河河道治理工程、巴公河泽州段防洪能力提升工程、长河泽州段防洪能力提升工程、霍秀河河道治理工程，全面提升主要河道行洪能力。对因城乡发展、产业布局导致防洪对象发生变化的河段，适度提升防洪标准，实施河道改造或堤防巩固提升工程，确保河道行洪安全。</w:t>
      </w:r>
    </w:p>
    <w:p w14:paraId="5F12F47B">
      <w:pPr>
        <w:pStyle w:val="5"/>
      </w:pPr>
      <w:bookmarkStart w:id="50" w:name="_Toc26674"/>
      <w:bookmarkStart w:id="51" w:name="_Toc36060052"/>
      <w:r>
        <w:rPr>
          <w:rFonts w:hint="eastAsia"/>
          <w:lang w:val="en-US" w:eastAsia="zh-CN"/>
        </w:rPr>
        <w:t>2.3</w:t>
      </w:r>
      <w:r>
        <w:t>水资源承载能力与供水安全保障要求</w:t>
      </w:r>
      <w:bookmarkEnd w:id="50"/>
      <w:bookmarkEnd w:id="51"/>
    </w:p>
    <w:p w14:paraId="2D1C7A42">
      <w:pPr>
        <w:pStyle w:val="6"/>
      </w:pPr>
      <w:bookmarkStart w:id="52" w:name="_Toc36060053"/>
      <w:r>
        <w:rPr>
          <w:rFonts w:hint="eastAsia"/>
          <w:lang w:val="en-US" w:eastAsia="zh-CN"/>
        </w:rPr>
        <w:t>2.3.1</w:t>
      </w:r>
      <w:r>
        <w:t>新形势下供水安全保障需求</w:t>
      </w:r>
      <w:bookmarkEnd w:id="52"/>
    </w:p>
    <w:p w14:paraId="69B55F5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县煤炭储量丰富，是</w:t>
      </w:r>
      <w:r>
        <w:rPr>
          <w:rFonts w:hint="eastAsia" w:eastAsia="宋体" w:cs="Times New Roman"/>
          <w:sz w:val="28"/>
          <w:szCs w:val="28"/>
          <w:lang w:val="en-US" w:eastAsia="zh-CN"/>
        </w:rPr>
        <w:t>泽州县</w:t>
      </w:r>
      <w:r>
        <w:rPr>
          <w:rFonts w:hint="default" w:ascii="Times New Roman" w:hAnsi="Times New Roman" w:eastAsia="宋体" w:cs="Times New Roman"/>
          <w:sz w:val="28"/>
          <w:szCs w:val="28"/>
          <w:lang w:val="en-US" w:eastAsia="zh-CN"/>
        </w:rPr>
        <w:t>支柱产业。煤矿采空区地表水量急剧减少、地下水被破坏，与居民饮水、农业用水、工业用水需求矛盾凸显，而且趋向于愈来愈尖锐</w:t>
      </w:r>
      <w:r>
        <w:rPr>
          <w:rFonts w:hint="eastAsia" w:eastAsia="宋体" w:cs="Times New Roman"/>
          <w:sz w:val="28"/>
          <w:szCs w:val="28"/>
          <w:lang w:val="en-US" w:eastAsia="zh-CN"/>
        </w:rPr>
        <w:t>。由于地形特点，泽州县地表水资源在出省边境丰富，岩溶大泉也在泉域下游偏远山区出流，开采利用成本高。境内浅中层地下水受采煤破坏，可利用价值不大。岩溶地下水是泽州县可利用的主要水源。</w:t>
      </w:r>
    </w:p>
    <w:p w14:paraId="46CA5B1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由于</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县的资源禀赋情况，未来若干年</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县以煤炭为主的能源格局不会有太大变化。</w:t>
      </w:r>
      <w:r>
        <w:rPr>
          <w:rFonts w:hint="eastAsia" w:eastAsia="宋体" w:cs="Times New Roman"/>
          <w:sz w:val="28"/>
          <w:szCs w:val="28"/>
          <w:lang w:val="en-US" w:eastAsia="zh-CN"/>
        </w:rPr>
        <w:t>目前，</w:t>
      </w:r>
      <w:r>
        <w:rPr>
          <w:rFonts w:hint="default" w:ascii="Times New Roman" w:hAnsi="Times New Roman" w:eastAsia="宋体" w:cs="Times New Roman"/>
          <w:sz w:val="28"/>
          <w:szCs w:val="28"/>
          <w:lang w:val="en-US" w:eastAsia="zh-CN"/>
        </w:rPr>
        <w:t>县级水网工程的逐步完善</w:t>
      </w:r>
      <w:r>
        <w:rPr>
          <w:rFonts w:hint="eastAsia" w:eastAsia="宋体" w:cs="Times New Roman"/>
          <w:sz w:val="28"/>
          <w:szCs w:val="28"/>
          <w:lang w:val="en-US" w:eastAsia="zh-CN"/>
        </w:rPr>
        <w:t>，新建水源工程包括</w:t>
      </w:r>
      <w:r>
        <w:rPr>
          <w:rFonts w:hint="default" w:ascii="Times New Roman" w:hAnsi="Times New Roman" w:eastAsia="宋体" w:cs="Times New Roman"/>
          <w:sz w:val="28"/>
          <w:szCs w:val="28"/>
          <w:lang w:val="en-US" w:eastAsia="zh-CN"/>
        </w:rPr>
        <w:t>新建</w:t>
      </w:r>
      <w:r>
        <w:rPr>
          <w:rFonts w:hint="eastAsia" w:eastAsia="宋体" w:cs="Times New Roman"/>
          <w:sz w:val="28"/>
          <w:szCs w:val="28"/>
          <w:lang w:val="en-US" w:eastAsia="zh-CN"/>
        </w:rPr>
        <w:t>石河水库工程等工程建设，</w:t>
      </w:r>
      <w:r>
        <w:rPr>
          <w:rFonts w:hint="default" w:ascii="Times New Roman" w:hAnsi="Times New Roman" w:eastAsia="宋体" w:cs="Times New Roman"/>
          <w:sz w:val="28"/>
          <w:szCs w:val="28"/>
          <w:lang w:val="en-US" w:eastAsia="zh-CN"/>
        </w:rPr>
        <w:t>管网工程方面，</w:t>
      </w:r>
      <w:r>
        <w:rPr>
          <w:rFonts w:hint="eastAsia" w:eastAsia="宋体" w:cs="Times New Roman"/>
          <w:sz w:val="28"/>
          <w:szCs w:val="28"/>
          <w:lang w:val="en-US" w:eastAsia="zh-CN"/>
        </w:rPr>
        <w:t>南部依托石河水库及盐厂泉，主要覆盖晋庙铺镇、山河镇、南岭镇、犁川镇、大箕镇5个镇；西部依托下河泉水源覆盖川底镇和周村镇；中北部以张峰水源为依托，覆盖大东沟镇、下村镇、大阳镇、巴公镇、北义城镇、高都镇；东部依托玛琅水源为依托，为柳树口镇提供水源。各片区</w:t>
      </w:r>
      <w:r>
        <w:rPr>
          <w:rFonts w:hint="default" w:ascii="Times New Roman" w:hAnsi="Times New Roman" w:eastAsia="宋体" w:cs="Times New Roman"/>
          <w:sz w:val="28"/>
          <w:szCs w:val="28"/>
          <w:lang w:val="en-US" w:eastAsia="zh-CN"/>
        </w:rPr>
        <w:t>最终形成</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县多源互补、稳定可靠、配置高效、覆盖全县的大水网。</w:t>
      </w:r>
    </w:p>
    <w:p w14:paraId="00251AC2">
      <w:pPr>
        <w:pStyle w:val="6"/>
      </w:pPr>
      <w:bookmarkStart w:id="53" w:name="_Toc36060054"/>
      <w:r>
        <w:rPr>
          <w:rFonts w:hint="eastAsia"/>
          <w:lang w:val="en-US" w:eastAsia="zh-CN"/>
        </w:rPr>
        <w:t>2.3.2</w:t>
      </w:r>
      <w:r>
        <w:t>水资源配置基础设施网络建设要求</w:t>
      </w:r>
      <w:bookmarkEnd w:id="53"/>
    </w:p>
    <w:p w14:paraId="4BF687E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各镇及村庄现状居民生活用水大部分使用的是深井水，仅有少部分使用</w:t>
      </w:r>
      <w:r>
        <w:rPr>
          <w:rFonts w:hint="eastAsia" w:ascii="Times New Roman" w:hAnsi="Times New Roman" w:eastAsia="宋体" w:cs="Times New Roman"/>
          <w:sz w:val="28"/>
          <w:szCs w:val="28"/>
          <w:lang w:val="en-US" w:eastAsia="zh-CN"/>
        </w:rPr>
        <w:t>地表水。随着经济社会的快速发展，对水资源的需求大幅增加。然</w:t>
      </w:r>
      <w:r>
        <w:rPr>
          <w:rFonts w:hint="eastAsia" w:eastAsia="宋体" w:cs="Times New Roman"/>
          <w:sz w:val="28"/>
          <w:szCs w:val="28"/>
          <w:lang w:val="en-US" w:eastAsia="zh-CN"/>
        </w:rPr>
        <w:t>而</w:t>
      </w:r>
      <w:r>
        <w:rPr>
          <w:rFonts w:hint="eastAsia" w:ascii="Times New Roman" w:hAnsi="Times New Roman" w:eastAsia="宋体" w:cs="Times New Roman"/>
          <w:sz w:val="28"/>
          <w:szCs w:val="28"/>
          <w:lang w:val="en-US" w:eastAsia="zh-CN"/>
        </w:rPr>
        <w:t>近年来，全县基本没有建新的水源工程，现有地表水工程老化严重、利用率较低，水资源供需矛盾日益突出，并已成为泽州县经济社会发展、生活水平提高等的重要制约因素。为解决地下水超采问题，“十四五”时期，</w:t>
      </w:r>
      <w:r>
        <w:rPr>
          <w:rFonts w:hint="eastAsia" w:eastAsia="宋体" w:cs="Times New Roman"/>
          <w:sz w:val="28"/>
          <w:szCs w:val="28"/>
          <w:lang w:val="en-US" w:eastAsia="zh-CN"/>
        </w:rPr>
        <w:t>泽州</w:t>
      </w:r>
      <w:r>
        <w:rPr>
          <w:rFonts w:hint="eastAsia" w:ascii="Times New Roman" w:hAnsi="Times New Roman" w:eastAsia="宋体" w:cs="Times New Roman"/>
          <w:sz w:val="28"/>
          <w:szCs w:val="28"/>
          <w:lang w:val="en-US" w:eastAsia="zh-CN"/>
        </w:rPr>
        <w:t>县将继续在“十三五”县域小水网布局的基础上，完善县域水网工程，提高水资源利用率，增加水利工程调蓄能力，保障经济社会发展用水需求。</w:t>
      </w:r>
    </w:p>
    <w:p w14:paraId="29FEC47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乡村振兴需要加强农业基础设施建设，扎实推进重大水利工程建设，加快构建国家水网骨干网络；加快大中型灌区建设和现代化改造；实施一批中小型水库及引调水、抗旱备用水源等工程建设；加强田间地头渠系与灌区骨干工程连接等农田水利设施建设；支持重点区域开展地下水超采综合治理，推进黄河流域农业深度节水控水；在干旱半干旱地区发展高效节水旱作农业；深入推进农业水价综合改革。</w:t>
      </w:r>
    </w:p>
    <w:p w14:paraId="5A13F45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eastAsia="宋体" w:cs="Times New Roman"/>
          <w:sz w:val="28"/>
          <w:szCs w:val="28"/>
          <w:lang w:val="en-US" w:eastAsia="zh-CN"/>
        </w:rPr>
        <w:t>“</w:t>
      </w:r>
      <w:r>
        <w:rPr>
          <w:rFonts w:hint="eastAsia" w:ascii="Times New Roman" w:hAnsi="Times New Roman" w:eastAsia="宋体" w:cs="Times New Roman"/>
          <w:sz w:val="28"/>
          <w:szCs w:val="28"/>
          <w:lang w:val="en-US" w:eastAsia="zh-CN"/>
        </w:rPr>
        <w:t>十四五</w:t>
      </w:r>
      <w:r>
        <w:rPr>
          <w:rFonts w:hint="eastAsia" w:eastAsia="宋体" w:cs="Times New Roman"/>
          <w:sz w:val="28"/>
          <w:szCs w:val="28"/>
          <w:lang w:val="en-US" w:eastAsia="zh-CN"/>
        </w:rPr>
        <w:t>”</w:t>
      </w:r>
      <w:r>
        <w:rPr>
          <w:rFonts w:hint="eastAsia" w:ascii="Times New Roman" w:hAnsi="Times New Roman" w:eastAsia="宋体" w:cs="Times New Roman"/>
          <w:sz w:val="28"/>
          <w:szCs w:val="28"/>
          <w:lang w:val="en-US" w:eastAsia="zh-CN"/>
        </w:rPr>
        <w:t>期间建设</w:t>
      </w:r>
      <w:r>
        <w:rPr>
          <w:rFonts w:hint="eastAsia" w:eastAsia="宋体" w:cs="Times New Roman"/>
          <w:sz w:val="28"/>
          <w:szCs w:val="28"/>
          <w:lang w:val="en-US" w:eastAsia="zh-CN"/>
        </w:rPr>
        <w:t>泽州县南部水网工程、中北部规模化供水工程、</w:t>
      </w:r>
      <w:r>
        <w:rPr>
          <w:rFonts w:hint="eastAsia" w:ascii="Times New Roman" w:hAnsi="Times New Roman" w:eastAsia="宋体" w:cs="Times New Roman"/>
          <w:sz w:val="28"/>
          <w:szCs w:val="28"/>
          <w:lang w:val="en-US" w:eastAsia="zh-CN"/>
        </w:rPr>
        <w:t>张峰水库供水与丹河（任庄水库段）连通工程</w:t>
      </w:r>
      <w:r>
        <w:rPr>
          <w:rFonts w:hint="eastAsia" w:eastAsia="宋体" w:cs="Times New Roman"/>
          <w:sz w:val="28"/>
          <w:szCs w:val="28"/>
          <w:lang w:val="en-US" w:eastAsia="zh-CN"/>
        </w:rPr>
        <w:t>、高都镇丹河供水保障工程。</w:t>
      </w:r>
      <w:r>
        <w:rPr>
          <w:rFonts w:hint="eastAsia" w:ascii="Times New Roman" w:hAnsi="Times New Roman" w:eastAsia="宋体" w:cs="Times New Roman"/>
          <w:sz w:val="28"/>
          <w:szCs w:val="28"/>
          <w:lang w:val="en-US" w:eastAsia="zh-CN"/>
        </w:rPr>
        <w:t>新增供水</w:t>
      </w:r>
      <w:r>
        <w:rPr>
          <w:rFonts w:hint="default" w:ascii="Times New Roman" w:hAnsi="Times New Roman" w:eastAsia="宋体" w:cs="Times New Roman"/>
          <w:sz w:val="28"/>
          <w:szCs w:val="28"/>
          <w:lang w:val="en-US" w:eastAsia="zh-CN"/>
        </w:rPr>
        <w:t>2547</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w:t>
      </w:r>
      <w:r>
        <w:rPr>
          <w:rFonts w:hint="default" w:ascii="Times New Roman" w:hAnsi="Times New Roman" w:eastAsia="宋体" w:cs="Times New Roman"/>
          <w:sz w:val="28"/>
          <w:szCs w:val="28"/>
          <w:vertAlign w:val="superscript"/>
          <w:lang w:val="en-US" w:eastAsia="zh-CN"/>
        </w:rPr>
        <w:t>3</w:t>
      </w:r>
      <w:r>
        <w:rPr>
          <w:rFonts w:hint="eastAsia" w:ascii="Times New Roman" w:hAnsi="Times New Roman" w:eastAsia="宋体" w:cs="Times New Roman"/>
          <w:sz w:val="28"/>
          <w:szCs w:val="28"/>
          <w:lang w:val="en-US" w:eastAsia="zh-CN"/>
        </w:rPr>
        <w:t>，保障</w:t>
      </w:r>
      <w:r>
        <w:rPr>
          <w:rFonts w:hint="default" w:ascii="Times New Roman" w:hAnsi="Times New Roman" w:eastAsia="宋体" w:cs="Times New Roman"/>
          <w:sz w:val="28"/>
          <w:szCs w:val="28"/>
          <w:lang w:val="en-US" w:eastAsia="zh-CN"/>
        </w:rPr>
        <w:t>39.3</w:t>
      </w:r>
      <w:r>
        <w:rPr>
          <w:rFonts w:hint="eastAsia" w:ascii="Times New Roman" w:hAnsi="Times New Roman" w:eastAsia="宋体" w:cs="Times New Roman"/>
          <w:sz w:val="28"/>
          <w:szCs w:val="28"/>
          <w:lang w:val="en-US" w:eastAsia="zh-CN"/>
        </w:rPr>
        <w:t>万人口用水需求。总投资</w:t>
      </w:r>
      <w:r>
        <w:rPr>
          <w:rFonts w:hint="default" w:ascii="Times New Roman" w:hAnsi="Times New Roman" w:eastAsia="宋体" w:cs="Times New Roman"/>
          <w:sz w:val="28"/>
          <w:szCs w:val="28"/>
          <w:lang w:val="en-US" w:eastAsia="zh-CN"/>
        </w:rPr>
        <w:t>17.21</w:t>
      </w:r>
      <w:r>
        <w:rPr>
          <w:rFonts w:hint="eastAsia" w:ascii="Times New Roman" w:hAnsi="Times New Roman" w:eastAsia="宋体" w:cs="Times New Roman"/>
          <w:sz w:val="28"/>
          <w:szCs w:val="28"/>
          <w:lang w:val="en-US" w:eastAsia="zh-CN"/>
        </w:rPr>
        <w:t>亿元。</w:t>
      </w:r>
    </w:p>
    <w:p w14:paraId="1858F30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）泽州县南部水网工程</w:t>
      </w:r>
    </w:p>
    <w:p w14:paraId="7BCB7A0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建设地点：犁川镇、大箕镇、山河镇、南岭镇和晋庙铺镇。</w:t>
      </w:r>
    </w:p>
    <w:p w14:paraId="5A12E4E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建设内容：本项目主要水源为沁河及逍遥石河地表水，年供水量</w:t>
      </w:r>
      <w:r>
        <w:rPr>
          <w:rFonts w:hint="default" w:ascii="Times New Roman" w:hAnsi="Times New Roman" w:eastAsia="宋体" w:cs="Times New Roman"/>
          <w:sz w:val="28"/>
          <w:szCs w:val="28"/>
          <w:lang w:val="en-US" w:eastAsia="zh-CN"/>
        </w:rPr>
        <w:t>1276</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m³</w:t>
      </w:r>
      <w:r>
        <w:rPr>
          <w:rFonts w:hint="eastAsia" w:ascii="Times New Roman" w:hAnsi="Times New Roman" w:eastAsia="宋体" w:cs="Times New Roman"/>
          <w:sz w:val="28"/>
          <w:szCs w:val="28"/>
          <w:lang w:val="en-US" w:eastAsia="zh-CN"/>
        </w:rPr>
        <w:t>。新建泵站</w:t>
      </w:r>
      <w:r>
        <w:rPr>
          <w:rFonts w:hint="default" w:ascii="Times New Roman" w:hAnsi="Times New Roman" w:eastAsia="宋体" w:cs="Times New Roman"/>
          <w:sz w:val="28"/>
          <w:szCs w:val="28"/>
          <w:lang w:val="en-US" w:eastAsia="zh-CN"/>
        </w:rPr>
        <w:t>5</w:t>
      </w:r>
      <w:r>
        <w:rPr>
          <w:rFonts w:hint="eastAsia" w:ascii="Times New Roman" w:hAnsi="Times New Roman" w:eastAsia="宋体" w:cs="Times New Roman"/>
          <w:sz w:val="28"/>
          <w:szCs w:val="28"/>
          <w:lang w:val="en-US" w:eastAsia="zh-CN"/>
        </w:rPr>
        <w:t>座，水厂</w:t>
      </w:r>
      <w:r>
        <w:rPr>
          <w:rFonts w:hint="default"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val="en-US" w:eastAsia="zh-CN"/>
        </w:rPr>
        <w:t>座，调蓄水池</w:t>
      </w:r>
      <w:r>
        <w:rPr>
          <w:rFonts w:hint="default" w:ascii="Times New Roman" w:hAnsi="Times New Roman" w:eastAsia="宋体" w:cs="Times New Roman"/>
          <w:sz w:val="28"/>
          <w:szCs w:val="28"/>
          <w:lang w:val="en-US" w:eastAsia="zh-CN"/>
        </w:rPr>
        <w:t>7</w:t>
      </w:r>
      <w:r>
        <w:rPr>
          <w:rFonts w:hint="eastAsia" w:ascii="Times New Roman" w:hAnsi="Times New Roman" w:eastAsia="宋体" w:cs="Times New Roman"/>
          <w:sz w:val="28"/>
          <w:szCs w:val="28"/>
          <w:lang w:val="en-US" w:eastAsia="zh-CN"/>
        </w:rPr>
        <w:t>座，供水管道</w:t>
      </w:r>
      <w:r>
        <w:rPr>
          <w:rFonts w:hint="default" w:ascii="Times New Roman" w:hAnsi="Times New Roman" w:eastAsia="宋体" w:cs="Times New Roman"/>
          <w:sz w:val="28"/>
          <w:szCs w:val="28"/>
          <w:lang w:val="en-US" w:eastAsia="zh-CN"/>
        </w:rPr>
        <w:t>377km</w:t>
      </w:r>
      <w:r>
        <w:rPr>
          <w:rFonts w:hint="eastAsia" w:ascii="Times New Roman" w:hAnsi="Times New Roman" w:eastAsia="宋体" w:cs="Times New Roman"/>
          <w:sz w:val="28"/>
          <w:szCs w:val="28"/>
          <w:lang w:val="en-US" w:eastAsia="zh-CN"/>
        </w:rPr>
        <w:t>。项目共分为两部分，即主管网及乡镇配水管网。</w:t>
      </w:r>
    </w:p>
    <w:p w14:paraId="0038A67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工程效益：为泽州县南部山河、晋庙铺、南岭、犁川、大箕五个乡镇提供生产生活用水，以置换各乡镇现在使用的深井水，并为南村镇预留了生活及工业用水量。项目受益人口为</w:t>
      </w:r>
      <w:r>
        <w:rPr>
          <w:rFonts w:hint="default" w:ascii="Times New Roman" w:hAnsi="Times New Roman" w:eastAsia="宋体" w:cs="Times New Roman"/>
          <w:sz w:val="28"/>
          <w:szCs w:val="28"/>
          <w:lang w:val="en-US" w:eastAsia="zh-CN"/>
        </w:rPr>
        <w:t>14.2</w:t>
      </w:r>
      <w:r>
        <w:rPr>
          <w:rFonts w:hint="eastAsia" w:ascii="Times New Roman" w:hAnsi="Times New Roman" w:eastAsia="宋体" w:cs="Times New Roman"/>
          <w:sz w:val="28"/>
          <w:szCs w:val="28"/>
          <w:lang w:val="en-US" w:eastAsia="zh-CN"/>
        </w:rPr>
        <w:t>万人。</w:t>
      </w:r>
    </w:p>
    <w:p w14:paraId="2E4F3EE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2</w:t>
      </w:r>
      <w:r>
        <w:rPr>
          <w:rFonts w:hint="eastAsia" w:ascii="Times New Roman" w:hAnsi="Times New Roman" w:eastAsia="宋体" w:cs="Times New Roman"/>
          <w:sz w:val="28"/>
          <w:szCs w:val="28"/>
          <w:lang w:val="en-US" w:eastAsia="zh-CN"/>
        </w:rPr>
        <w:t>）泽州县中北部规模化供水工程</w:t>
      </w:r>
    </w:p>
    <w:p w14:paraId="6BC8662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建设地点：晋城市泽州县北义城镇、巴公镇、高都镇、大阳镇、下村镇、大东沟镇、金村镇</w:t>
      </w:r>
      <w:r>
        <w:rPr>
          <w:rFonts w:hint="eastAsia" w:eastAsia="宋体" w:cs="Times New Roman"/>
          <w:sz w:val="28"/>
          <w:szCs w:val="28"/>
          <w:lang w:val="en-US" w:eastAsia="zh-CN"/>
        </w:rPr>
        <w:t>。</w:t>
      </w:r>
    </w:p>
    <w:p w14:paraId="3CB4CC8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建设内容：①泽州县中北部规模化供水工程北部片区覆盖北义城镇、巴公镇、高都镇、大阳镇、下村镇、大东沟镇</w:t>
      </w:r>
      <w:r>
        <w:rPr>
          <w:rFonts w:hint="default" w:ascii="Times New Roman" w:hAnsi="Times New Roman" w:eastAsia="宋体" w:cs="Times New Roman"/>
          <w:sz w:val="28"/>
          <w:szCs w:val="28"/>
          <w:lang w:val="en-US" w:eastAsia="zh-CN"/>
        </w:rPr>
        <w:t>6</w:t>
      </w:r>
      <w:r>
        <w:rPr>
          <w:rFonts w:hint="eastAsia" w:ascii="Times New Roman" w:hAnsi="Times New Roman" w:eastAsia="宋体" w:cs="Times New Roman"/>
          <w:sz w:val="28"/>
          <w:szCs w:val="28"/>
          <w:lang w:val="en-US" w:eastAsia="zh-CN"/>
        </w:rPr>
        <w:t>乡镇</w:t>
      </w:r>
      <w:r>
        <w:rPr>
          <w:rFonts w:hint="default" w:ascii="Times New Roman" w:hAnsi="Times New Roman" w:eastAsia="宋体" w:cs="Times New Roman"/>
          <w:sz w:val="28"/>
          <w:szCs w:val="28"/>
          <w:lang w:val="en-US" w:eastAsia="zh-CN"/>
        </w:rPr>
        <w:t>20.22</w:t>
      </w:r>
      <w:r>
        <w:rPr>
          <w:rFonts w:hint="eastAsia" w:ascii="Times New Roman" w:hAnsi="Times New Roman" w:eastAsia="宋体" w:cs="Times New Roman"/>
          <w:sz w:val="28"/>
          <w:szCs w:val="28"/>
          <w:lang w:val="en-US" w:eastAsia="zh-CN"/>
        </w:rPr>
        <w:t>万人，供水管道长度</w:t>
      </w:r>
      <w:r>
        <w:rPr>
          <w:rFonts w:hint="default" w:ascii="Times New Roman" w:hAnsi="Times New Roman" w:eastAsia="宋体" w:cs="Times New Roman"/>
          <w:sz w:val="28"/>
          <w:szCs w:val="28"/>
          <w:lang w:val="en-US" w:eastAsia="zh-CN"/>
        </w:rPr>
        <w:t>256.92km</w:t>
      </w:r>
      <w:r>
        <w:rPr>
          <w:rFonts w:hint="eastAsia" w:ascii="Times New Roman" w:hAnsi="Times New Roman" w:eastAsia="宋体" w:cs="Times New Roman"/>
          <w:sz w:val="28"/>
          <w:szCs w:val="28"/>
          <w:lang w:val="en-US" w:eastAsia="zh-CN"/>
        </w:rPr>
        <w:t>，新建水池</w:t>
      </w:r>
      <w:r>
        <w:rPr>
          <w:rFonts w:hint="default" w:ascii="Times New Roman" w:hAnsi="Times New Roman" w:eastAsia="宋体" w:cs="Times New Roman"/>
          <w:sz w:val="28"/>
          <w:szCs w:val="28"/>
          <w:lang w:val="en-US" w:eastAsia="zh-CN"/>
        </w:rPr>
        <w:t>7</w:t>
      </w:r>
      <w:r>
        <w:rPr>
          <w:rFonts w:hint="eastAsia" w:ascii="Times New Roman" w:hAnsi="Times New Roman" w:eastAsia="宋体" w:cs="Times New Roman"/>
          <w:sz w:val="28"/>
          <w:szCs w:val="28"/>
          <w:lang w:val="en-US" w:eastAsia="zh-CN"/>
        </w:rPr>
        <w:t>座，新建泵站</w:t>
      </w:r>
      <w:r>
        <w:rPr>
          <w:rFonts w:hint="default"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val="en-US" w:eastAsia="zh-CN"/>
        </w:rPr>
        <w:t>座，新建净水厂</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座，年供水量</w:t>
      </w:r>
      <w:r>
        <w:rPr>
          <w:rFonts w:hint="default" w:ascii="Times New Roman" w:hAnsi="Times New Roman" w:eastAsia="宋体" w:cs="Times New Roman"/>
          <w:sz w:val="28"/>
          <w:szCs w:val="28"/>
          <w:lang w:val="en-US" w:eastAsia="zh-CN"/>
        </w:rPr>
        <w:t>814.48</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m³</w:t>
      </w:r>
      <w:r>
        <w:rPr>
          <w:rFonts w:hint="eastAsia" w:ascii="Times New Roman" w:hAnsi="Times New Roman" w:eastAsia="宋体" w:cs="Times New Roman"/>
          <w:sz w:val="28"/>
          <w:szCs w:val="28"/>
          <w:lang w:val="en-US" w:eastAsia="zh-CN"/>
        </w:rPr>
        <w:t>；②泽州县中北部规模化供水工程中部片区覆盖金村镇</w:t>
      </w:r>
      <w:r>
        <w:rPr>
          <w:rFonts w:hint="default" w:ascii="Times New Roman" w:hAnsi="Times New Roman" w:eastAsia="宋体" w:cs="Times New Roman"/>
          <w:sz w:val="28"/>
          <w:szCs w:val="28"/>
          <w:lang w:val="en-US" w:eastAsia="zh-CN"/>
        </w:rPr>
        <w:t>1.66</w:t>
      </w:r>
      <w:r>
        <w:rPr>
          <w:rFonts w:hint="eastAsia" w:ascii="Times New Roman" w:hAnsi="Times New Roman" w:eastAsia="宋体" w:cs="Times New Roman"/>
          <w:sz w:val="28"/>
          <w:szCs w:val="28"/>
          <w:lang w:val="en-US" w:eastAsia="zh-CN"/>
        </w:rPr>
        <w:t>万人，供水管道长度</w:t>
      </w:r>
      <w:r>
        <w:rPr>
          <w:rFonts w:hint="default" w:ascii="Times New Roman" w:hAnsi="Times New Roman" w:eastAsia="宋体" w:cs="Times New Roman"/>
          <w:sz w:val="28"/>
          <w:szCs w:val="28"/>
          <w:lang w:val="en-US" w:eastAsia="zh-CN"/>
        </w:rPr>
        <w:t>25.86km</w:t>
      </w:r>
      <w:r>
        <w:rPr>
          <w:rFonts w:hint="eastAsia" w:ascii="Times New Roman" w:hAnsi="Times New Roman" w:eastAsia="宋体" w:cs="Times New Roman"/>
          <w:sz w:val="28"/>
          <w:szCs w:val="28"/>
          <w:lang w:val="en-US" w:eastAsia="zh-CN"/>
        </w:rPr>
        <w:t>，新建泵站</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座，新建净水厂</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座，年供水量</w:t>
      </w:r>
      <w:r>
        <w:rPr>
          <w:rFonts w:hint="default" w:ascii="Times New Roman" w:hAnsi="Times New Roman" w:eastAsia="宋体" w:cs="Times New Roman"/>
          <w:sz w:val="28"/>
          <w:szCs w:val="28"/>
          <w:lang w:val="en-US" w:eastAsia="zh-CN"/>
        </w:rPr>
        <w:t>66.54</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m³</w:t>
      </w:r>
      <w:r>
        <w:rPr>
          <w:rFonts w:hint="eastAsia" w:ascii="Times New Roman" w:hAnsi="Times New Roman" w:eastAsia="宋体" w:cs="Times New Roman"/>
          <w:sz w:val="28"/>
          <w:szCs w:val="28"/>
          <w:lang w:val="en-US" w:eastAsia="zh-CN"/>
        </w:rPr>
        <w:t>；③泽州县西部水网工程西部片区管道长度</w:t>
      </w:r>
      <w:r>
        <w:rPr>
          <w:rFonts w:hint="default" w:ascii="Times New Roman" w:hAnsi="Times New Roman" w:eastAsia="宋体" w:cs="Times New Roman"/>
          <w:sz w:val="28"/>
          <w:szCs w:val="28"/>
          <w:lang w:val="en-US" w:eastAsia="zh-CN"/>
        </w:rPr>
        <w:t>71.4km</w:t>
      </w:r>
      <w:r>
        <w:rPr>
          <w:rFonts w:hint="eastAsia" w:ascii="Times New Roman" w:hAnsi="Times New Roman" w:eastAsia="宋体" w:cs="Times New Roman"/>
          <w:sz w:val="28"/>
          <w:szCs w:val="28"/>
          <w:lang w:val="en-US" w:eastAsia="zh-CN"/>
        </w:rPr>
        <w:t>，新建水池</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座，新建净水厂</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座，新建泵站</w:t>
      </w:r>
      <w:r>
        <w:rPr>
          <w:rFonts w:hint="default"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val="en-US" w:eastAsia="zh-CN"/>
        </w:rPr>
        <w:t>座，年供水量</w:t>
      </w:r>
      <w:r>
        <w:rPr>
          <w:rFonts w:hint="default" w:ascii="Times New Roman" w:hAnsi="Times New Roman" w:eastAsia="宋体" w:cs="Times New Roman"/>
          <w:sz w:val="28"/>
          <w:szCs w:val="28"/>
          <w:lang w:val="en-US" w:eastAsia="zh-CN"/>
        </w:rPr>
        <w:t>186.26</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m³</w:t>
      </w:r>
      <w:r>
        <w:rPr>
          <w:rFonts w:hint="eastAsia" w:ascii="Times New Roman" w:hAnsi="Times New Roman" w:eastAsia="宋体" w:cs="Times New Roman"/>
          <w:sz w:val="28"/>
          <w:szCs w:val="28"/>
          <w:lang w:val="en-US" w:eastAsia="zh-CN"/>
        </w:rPr>
        <w:t>，设计流量</w:t>
      </w:r>
      <w:r>
        <w:rPr>
          <w:rFonts w:hint="default" w:ascii="Times New Roman" w:hAnsi="Times New Roman" w:eastAsia="宋体" w:cs="Times New Roman"/>
          <w:sz w:val="28"/>
          <w:szCs w:val="28"/>
          <w:lang w:val="en-US" w:eastAsia="zh-CN"/>
        </w:rPr>
        <w:t>0.059m³/s</w:t>
      </w:r>
      <w:r>
        <w:rPr>
          <w:rFonts w:hint="eastAsia" w:ascii="Times New Roman" w:hAnsi="Times New Roman" w:eastAsia="宋体" w:cs="Times New Roman"/>
          <w:sz w:val="28"/>
          <w:szCs w:val="28"/>
          <w:lang w:val="en-US" w:eastAsia="zh-CN"/>
        </w:rPr>
        <w:t>；④泽州县中北部规模化供水工程东部片区管道长度</w:t>
      </w:r>
      <w:r>
        <w:rPr>
          <w:rFonts w:hint="default" w:ascii="Times New Roman" w:hAnsi="Times New Roman" w:eastAsia="宋体" w:cs="Times New Roman"/>
          <w:sz w:val="28"/>
          <w:szCs w:val="28"/>
          <w:lang w:val="en-US" w:eastAsia="zh-CN"/>
        </w:rPr>
        <w:t>7.05km</w:t>
      </w:r>
      <w:r>
        <w:rPr>
          <w:rFonts w:hint="eastAsia" w:ascii="Times New Roman" w:hAnsi="Times New Roman" w:eastAsia="宋体" w:cs="Times New Roman"/>
          <w:sz w:val="28"/>
          <w:szCs w:val="28"/>
          <w:lang w:val="en-US" w:eastAsia="zh-CN"/>
        </w:rPr>
        <w:t>，最高日供水量为</w:t>
      </w:r>
      <w:r>
        <w:rPr>
          <w:rFonts w:hint="default" w:ascii="Times New Roman" w:hAnsi="Times New Roman" w:eastAsia="宋体" w:cs="Times New Roman"/>
          <w:sz w:val="28"/>
          <w:szCs w:val="28"/>
          <w:lang w:val="en-US" w:eastAsia="zh-CN"/>
        </w:rPr>
        <w:t>114.95m³/d</w:t>
      </w:r>
      <w:r>
        <w:rPr>
          <w:rFonts w:hint="eastAsia" w:ascii="Times New Roman" w:hAnsi="Times New Roman" w:eastAsia="宋体" w:cs="Times New Roman"/>
          <w:sz w:val="28"/>
          <w:szCs w:val="28"/>
          <w:lang w:val="en-US" w:eastAsia="zh-CN"/>
        </w:rPr>
        <w:t>，年供水量</w:t>
      </w:r>
      <w:r>
        <w:rPr>
          <w:rFonts w:hint="default" w:ascii="Times New Roman" w:hAnsi="Times New Roman" w:eastAsia="宋体" w:cs="Times New Roman"/>
          <w:sz w:val="28"/>
          <w:szCs w:val="28"/>
          <w:lang w:val="en-US" w:eastAsia="zh-CN"/>
        </w:rPr>
        <w:t>4.2</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m³</w:t>
      </w:r>
      <w:r>
        <w:rPr>
          <w:rFonts w:hint="eastAsia" w:ascii="Times New Roman" w:hAnsi="Times New Roman" w:eastAsia="宋体" w:cs="Times New Roman"/>
          <w:sz w:val="28"/>
          <w:szCs w:val="28"/>
          <w:lang w:val="en-US" w:eastAsia="zh-CN"/>
        </w:rPr>
        <w:t>。</w:t>
      </w:r>
    </w:p>
    <w:p w14:paraId="4C12875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工程效益：保障</w:t>
      </w:r>
      <w:r>
        <w:rPr>
          <w:rFonts w:hint="default" w:ascii="Times New Roman" w:hAnsi="Times New Roman" w:eastAsia="宋体" w:cs="Times New Roman"/>
          <w:sz w:val="28"/>
          <w:szCs w:val="28"/>
          <w:lang w:val="en-US" w:eastAsia="zh-CN"/>
        </w:rPr>
        <w:t>21.9</w:t>
      </w:r>
      <w:r>
        <w:rPr>
          <w:rFonts w:hint="eastAsia" w:ascii="Times New Roman" w:hAnsi="Times New Roman" w:eastAsia="宋体" w:cs="Times New Roman"/>
          <w:sz w:val="28"/>
          <w:szCs w:val="28"/>
          <w:lang w:val="en-US" w:eastAsia="zh-CN"/>
        </w:rPr>
        <w:t>万人用水需求。</w:t>
      </w:r>
    </w:p>
    <w:p w14:paraId="2FF99C0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3</w:t>
      </w:r>
      <w:r>
        <w:rPr>
          <w:rFonts w:hint="eastAsia" w:ascii="Times New Roman" w:hAnsi="Times New Roman" w:eastAsia="宋体" w:cs="Times New Roman"/>
          <w:sz w:val="28"/>
          <w:szCs w:val="28"/>
          <w:lang w:val="en-US" w:eastAsia="zh-CN"/>
        </w:rPr>
        <w:t>）张峰水库供水与丹河（任庄水库段）连通工程</w:t>
      </w:r>
    </w:p>
    <w:p w14:paraId="55FD6D6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建设地点：巴公镇、高都镇</w:t>
      </w:r>
    </w:p>
    <w:p w14:paraId="3D3152F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建设内容：新建调节水池</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座，加压泵站</w:t>
      </w:r>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座，铺设供水管道</w:t>
      </w:r>
      <w:r>
        <w:rPr>
          <w:rFonts w:hint="default" w:ascii="Times New Roman" w:hAnsi="Times New Roman" w:eastAsia="宋体" w:cs="Times New Roman"/>
          <w:sz w:val="28"/>
          <w:szCs w:val="28"/>
          <w:lang w:val="en-US" w:eastAsia="zh-CN"/>
        </w:rPr>
        <w:t>10km</w:t>
      </w:r>
      <w:r>
        <w:rPr>
          <w:rFonts w:hint="eastAsia" w:ascii="Times New Roman" w:hAnsi="Times New Roman" w:eastAsia="宋体" w:cs="Times New Roman"/>
          <w:sz w:val="28"/>
          <w:szCs w:val="28"/>
          <w:lang w:val="en-US" w:eastAsia="zh-CN"/>
        </w:rPr>
        <w:t>。</w:t>
      </w:r>
    </w:p>
    <w:p w14:paraId="3492AD9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工程效益：提升供水能力</w:t>
      </w:r>
      <w:r>
        <w:rPr>
          <w:rFonts w:hint="default" w:ascii="Times New Roman" w:hAnsi="Times New Roman" w:eastAsia="宋体" w:cs="Times New Roman"/>
          <w:sz w:val="28"/>
          <w:szCs w:val="28"/>
          <w:lang w:val="en-US" w:eastAsia="zh-CN"/>
        </w:rPr>
        <w:t>200</w:t>
      </w:r>
      <w:r>
        <w:rPr>
          <w:rFonts w:hint="eastAsia" w:ascii="Times New Roman" w:hAnsi="Times New Roman" w:eastAsia="宋体" w:cs="Times New Roman"/>
          <w:sz w:val="28"/>
          <w:szCs w:val="28"/>
          <w:lang w:val="en-US" w:eastAsia="zh-CN"/>
        </w:rPr>
        <w:t>万</w:t>
      </w:r>
      <w:r>
        <w:rPr>
          <w:rFonts w:hint="default" w:ascii="Times New Roman" w:hAnsi="Times New Roman" w:eastAsia="宋体" w:cs="Times New Roman"/>
          <w:sz w:val="28"/>
          <w:szCs w:val="28"/>
          <w:lang w:val="en-US" w:eastAsia="zh-CN"/>
        </w:rPr>
        <w:t>m</w:t>
      </w:r>
      <w:r>
        <w:rPr>
          <w:rFonts w:hint="default" w:ascii="Times New Roman" w:hAnsi="Times New Roman" w:eastAsia="宋体" w:cs="Times New Roman"/>
          <w:sz w:val="28"/>
          <w:szCs w:val="28"/>
          <w:vertAlign w:val="superscript"/>
          <w:lang w:val="en-US" w:eastAsia="zh-CN"/>
        </w:rPr>
        <w:t>3</w:t>
      </w:r>
      <w:r>
        <w:rPr>
          <w:rFonts w:hint="eastAsia" w:ascii="Times New Roman" w:hAnsi="Times New Roman" w:eastAsia="宋体" w:cs="Times New Roman"/>
          <w:sz w:val="28"/>
          <w:szCs w:val="28"/>
          <w:lang w:val="en-US" w:eastAsia="zh-CN"/>
        </w:rPr>
        <w:t>。</w:t>
      </w:r>
    </w:p>
    <w:p w14:paraId="2AF3EDA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工程投资：总投资</w:t>
      </w:r>
      <w:r>
        <w:rPr>
          <w:rFonts w:hint="default" w:ascii="Times New Roman" w:hAnsi="Times New Roman" w:eastAsia="宋体" w:cs="Times New Roman"/>
          <w:sz w:val="28"/>
          <w:szCs w:val="28"/>
          <w:lang w:val="en-US" w:eastAsia="zh-CN"/>
        </w:rPr>
        <w:t>2000</w:t>
      </w:r>
      <w:r>
        <w:rPr>
          <w:rFonts w:hint="eastAsia" w:ascii="Times New Roman" w:hAnsi="Times New Roman" w:eastAsia="宋体" w:cs="Times New Roman"/>
          <w:sz w:val="28"/>
          <w:szCs w:val="28"/>
          <w:lang w:val="en-US" w:eastAsia="zh-CN"/>
        </w:rPr>
        <w:t>万元。</w:t>
      </w:r>
    </w:p>
    <w:p w14:paraId="4789898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lang w:val="en-US" w:eastAsia="zh-CN"/>
        </w:rPr>
        <w:t>4</w:t>
      </w:r>
      <w:r>
        <w:rPr>
          <w:rFonts w:hint="eastAsia" w:ascii="Times New Roman" w:hAnsi="Times New Roman" w:eastAsia="宋体" w:cs="Times New Roman"/>
          <w:sz w:val="28"/>
          <w:szCs w:val="28"/>
          <w:lang w:val="en-US" w:eastAsia="zh-CN"/>
        </w:rPr>
        <w:t>）高都镇丹河供水保障工程</w:t>
      </w:r>
    </w:p>
    <w:p w14:paraId="4A18050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建设地点：高都镇</w:t>
      </w:r>
    </w:p>
    <w:p w14:paraId="4ECD89A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建设内容：铺设供水管道</w:t>
      </w:r>
      <w:r>
        <w:rPr>
          <w:rFonts w:hint="default" w:ascii="Times New Roman" w:hAnsi="Times New Roman" w:eastAsia="宋体" w:cs="Times New Roman"/>
          <w:sz w:val="28"/>
          <w:szCs w:val="28"/>
          <w:lang w:val="en-US" w:eastAsia="zh-CN"/>
        </w:rPr>
        <w:t>1.25km</w:t>
      </w:r>
      <w:r>
        <w:rPr>
          <w:rFonts w:hint="eastAsia" w:ascii="Times New Roman" w:hAnsi="Times New Roman" w:eastAsia="宋体" w:cs="Times New Roman"/>
          <w:sz w:val="28"/>
          <w:szCs w:val="28"/>
          <w:lang w:val="en-US" w:eastAsia="zh-CN"/>
        </w:rPr>
        <w:t>，新建阀门室</w:t>
      </w:r>
      <w:r>
        <w:rPr>
          <w:rFonts w:hint="default" w:ascii="Times New Roman" w:hAnsi="Times New Roman" w:eastAsia="宋体" w:cs="Times New Roman"/>
          <w:sz w:val="28"/>
          <w:szCs w:val="28"/>
          <w:lang w:val="en-US" w:eastAsia="zh-CN"/>
        </w:rPr>
        <w:t>40</w:t>
      </w:r>
      <w:r>
        <w:rPr>
          <w:rFonts w:hint="eastAsia" w:ascii="Times New Roman" w:hAnsi="Times New Roman" w:eastAsia="宋体" w:cs="Times New Roman"/>
          <w:sz w:val="28"/>
          <w:szCs w:val="28"/>
          <w:lang w:val="en-US" w:eastAsia="zh-CN"/>
        </w:rPr>
        <w:t>座，水表井</w:t>
      </w:r>
      <w:r>
        <w:rPr>
          <w:rFonts w:hint="default" w:ascii="Times New Roman" w:hAnsi="Times New Roman" w:eastAsia="宋体" w:cs="Times New Roman"/>
          <w:sz w:val="28"/>
          <w:szCs w:val="28"/>
          <w:lang w:val="en-US" w:eastAsia="zh-CN"/>
        </w:rPr>
        <w:t>220</w:t>
      </w:r>
      <w:r>
        <w:rPr>
          <w:rFonts w:hint="eastAsia" w:ascii="Times New Roman" w:hAnsi="Times New Roman" w:eastAsia="宋体" w:cs="Times New Roman"/>
          <w:sz w:val="28"/>
          <w:szCs w:val="28"/>
          <w:lang w:val="en-US" w:eastAsia="zh-CN"/>
        </w:rPr>
        <w:t>座，安装水表</w:t>
      </w:r>
      <w:r>
        <w:rPr>
          <w:rFonts w:hint="default" w:ascii="Times New Roman" w:hAnsi="Times New Roman" w:eastAsia="宋体" w:cs="Times New Roman"/>
          <w:sz w:val="28"/>
          <w:szCs w:val="28"/>
          <w:lang w:val="en-US" w:eastAsia="zh-CN"/>
        </w:rPr>
        <w:t>2058</w:t>
      </w:r>
      <w:r>
        <w:rPr>
          <w:rFonts w:hint="eastAsia" w:ascii="Times New Roman" w:hAnsi="Times New Roman" w:eastAsia="宋体" w:cs="Times New Roman"/>
          <w:sz w:val="28"/>
          <w:szCs w:val="28"/>
          <w:lang w:val="en-US" w:eastAsia="zh-CN"/>
        </w:rPr>
        <w:t>块，主要解决</w:t>
      </w:r>
      <w:r>
        <w:rPr>
          <w:rFonts w:hint="default" w:ascii="Times New Roman" w:hAnsi="Times New Roman" w:eastAsia="宋体" w:cs="Times New Roman"/>
          <w:sz w:val="28"/>
          <w:szCs w:val="28"/>
          <w:lang w:val="en-US" w:eastAsia="zh-CN"/>
        </w:rPr>
        <w:t>6</w:t>
      </w:r>
      <w:r>
        <w:rPr>
          <w:rFonts w:hint="eastAsia" w:ascii="Times New Roman" w:hAnsi="Times New Roman" w:eastAsia="宋体" w:cs="Times New Roman"/>
          <w:sz w:val="28"/>
          <w:szCs w:val="28"/>
          <w:lang w:val="en-US" w:eastAsia="zh-CN"/>
        </w:rPr>
        <w:t>个村</w:t>
      </w:r>
      <w:r>
        <w:rPr>
          <w:rFonts w:hint="default" w:ascii="Times New Roman" w:hAnsi="Times New Roman" w:eastAsia="宋体" w:cs="Times New Roman"/>
          <w:sz w:val="28"/>
          <w:szCs w:val="28"/>
          <w:lang w:val="en-US" w:eastAsia="zh-CN"/>
        </w:rPr>
        <w:t>3.2</w:t>
      </w:r>
      <w:r>
        <w:rPr>
          <w:rFonts w:hint="eastAsia" w:ascii="Times New Roman" w:hAnsi="Times New Roman" w:eastAsia="宋体" w:cs="Times New Roman"/>
          <w:sz w:val="28"/>
          <w:szCs w:val="28"/>
          <w:lang w:val="en-US" w:eastAsia="zh-CN"/>
        </w:rPr>
        <w:t>万人的供水保障。</w:t>
      </w:r>
    </w:p>
    <w:p w14:paraId="4949580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工程效益：解决</w:t>
      </w:r>
      <w:r>
        <w:rPr>
          <w:rFonts w:hint="default" w:ascii="Times New Roman" w:hAnsi="Times New Roman" w:eastAsia="宋体" w:cs="Times New Roman"/>
          <w:sz w:val="28"/>
          <w:szCs w:val="28"/>
          <w:lang w:val="en-US" w:eastAsia="zh-CN"/>
        </w:rPr>
        <w:t>3.2</w:t>
      </w:r>
      <w:r>
        <w:rPr>
          <w:rFonts w:hint="eastAsia" w:ascii="Times New Roman" w:hAnsi="Times New Roman" w:eastAsia="宋体" w:cs="Times New Roman"/>
          <w:sz w:val="28"/>
          <w:szCs w:val="28"/>
          <w:lang w:val="en-US" w:eastAsia="zh-CN"/>
        </w:rPr>
        <w:t>万人的供水保障。</w:t>
      </w:r>
    </w:p>
    <w:p w14:paraId="06DD8E2A">
      <w:pPr>
        <w:pStyle w:val="5"/>
      </w:pPr>
      <w:bookmarkStart w:id="54" w:name="_Toc36060055"/>
      <w:bookmarkStart w:id="55" w:name="_Toc20171"/>
      <w:r>
        <w:rPr>
          <w:rFonts w:hint="eastAsia"/>
          <w:lang w:val="en-US" w:eastAsia="zh-CN"/>
        </w:rPr>
        <w:t>2.4</w:t>
      </w:r>
      <w:r>
        <w:t>涉水空间保护要求</w:t>
      </w:r>
      <w:bookmarkEnd w:id="54"/>
      <w:bookmarkEnd w:id="55"/>
    </w:p>
    <w:p w14:paraId="00913A16">
      <w:pPr>
        <w:pStyle w:val="6"/>
      </w:pPr>
      <w:bookmarkStart w:id="56" w:name="_Toc36060056"/>
      <w:r>
        <w:rPr>
          <w:rFonts w:hint="eastAsia"/>
          <w:lang w:val="en-US" w:eastAsia="zh-CN"/>
        </w:rPr>
        <w:t>2.4.1</w:t>
      </w:r>
      <w:r>
        <w:t>河湖水系生态廊道保护与修复要求</w:t>
      </w:r>
      <w:bookmarkEnd w:id="56"/>
    </w:p>
    <w:p w14:paraId="5EA36C76">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left"/>
        <w:textAlignment w:val="auto"/>
        <w:rPr>
          <w:rFonts w:hint="default" w:eastAsia="宋体"/>
          <w:kern w:val="0"/>
          <w:sz w:val="28"/>
          <w:szCs w:val="28"/>
          <w:lang w:val="en-US" w:eastAsia="zh-CN"/>
        </w:rPr>
      </w:pPr>
      <w:r>
        <w:rPr>
          <w:rFonts w:eastAsia="宋体"/>
          <w:kern w:val="0"/>
          <w:sz w:val="28"/>
          <w:szCs w:val="28"/>
        </w:rPr>
        <w:t>河湖水系生态廊道是绿水和青山之间的重要纽带，直接影响着水域和陆域的物质流通、能量流通、生物流通，以及生物生存环境和健康发展，随着国民经济的发展，水生态环境保护的形势更加严峻，水资源短缺、水体污染已经成为制约生态文明建设和水资源可持续发展的重要因素。</w:t>
      </w:r>
      <w:r>
        <w:rPr>
          <w:rFonts w:hint="eastAsia" w:eastAsia="宋体"/>
          <w:kern w:val="0"/>
          <w:sz w:val="28"/>
          <w:szCs w:val="28"/>
          <w:lang w:val="en-US" w:eastAsia="zh-CN"/>
        </w:rPr>
        <w:t>泽州县</w:t>
      </w:r>
      <w:r>
        <w:rPr>
          <w:rFonts w:eastAsia="宋体"/>
          <w:sz w:val="28"/>
          <w:szCs w:val="28"/>
        </w:rPr>
        <w:t>在习</w:t>
      </w:r>
      <w:r>
        <w:rPr>
          <w:rFonts w:hint="eastAsia" w:eastAsia="宋体"/>
          <w:sz w:val="28"/>
          <w:szCs w:val="28"/>
          <w:lang w:val="en-US" w:eastAsia="zh-CN"/>
        </w:rPr>
        <w:t>近平</w:t>
      </w:r>
      <w:r>
        <w:rPr>
          <w:rFonts w:eastAsia="宋体"/>
          <w:sz w:val="28"/>
          <w:szCs w:val="28"/>
        </w:rPr>
        <w:t>总书记</w:t>
      </w:r>
      <w:r>
        <w:rPr>
          <w:rFonts w:hint="eastAsia" w:eastAsia="宋体"/>
          <w:sz w:val="28"/>
          <w:szCs w:val="28"/>
          <w:lang w:eastAsia="zh-CN"/>
        </w:rPr>
        <w:t>“</w:t>
      </w:r>
      <w:r>
        <w:rPr>
          <w:rFonts w:eastAsia="宋体"/>
          <w:sz w:val="28"/>
          <w:szCs w:val="28"/>
        </w:rPr>
        <w:t>水量丰起来、水质好起来、风光美起来</w:t>
      </w:r>
      <w:r>
        <w:rPr>
          <w:rFonts w:hint="eastAsia" w:eastAsia="宋体"/>
          <w:sz w:val="28"/>
          <w:szCs w:val="28"/>
          <w:lang w:eastAsia="zh-CN"/>
        </w:rPr>
        <w:t>”</w:t>
      </w:r>
      <w:r>
        <w:rPr>
          <w:rFonts w:eastAsia="宋体"/>
          <w:sz w:val="28"/>
          <w:szCs w:val="28"/>
        </w:rPr>
        <w:t>的具体要求下</w:t>
      </w:r>
      <w:r>
        <w:rPr>
          <w:rFonts w:eastAsia="宋体"/>
          <w:kern w:val="0"/>
          <w:sz w:val="28"/>
          <w:szCs w:val="28"/>
        </w:rPr>
        <w:t>，</w:t>
      </w:r>
      <w:r>
        <w:rPr>
          <w:rFonts w:hint="eastAsia" w:eastAsia="宋体"/>
          <w:sz w:val="28"/>
          <w:szCs w:val="28"/>
        </w:rPr>
        <w:t>泽州县沁（丹）河流域生态修复与保护包括河道综合治理工程、水生态修复等新建项目的多样性和与生态修复的紧密结合会使丹河流域拥有更加良好的生态环境</w:t>
      </w:r>
      <w:r>
        <w:rPr>
          <w:rFonts w:hint="eastAsia" w:eastAsia="宋体"/>
          <w:sz w:val="28"/>
          <w:szCs w:val="28"/>
          <w:lang w:eastAsia="zh-CN"/>
        </w:rPr>
        <w:t>。</w:t>
      </w:r>
      <w:r>
        <w:rPr>
          <w:rFonts w:hint="eastAsia" w:eastAsia="宋体"/>
          <w:sz w:val="28"/>
          <w:szCs w:val="28"/>
          <w:lang w:val="en-US" w:eastAsia="zh-CN"/>
        </w:rPr>
        <w:t>主要包括</w:t>
      </w:r>
      <w:r>
        <w:rPr>
          <w:rFonts w:hint="eastAsia" w:eastAsia="宋体"/>
          <w:kern w:val="0"/>
          <w:sz w:val="28"/>
          <w:szCs w:val="28"/>
          <w:lang w:val="en-US" w:eastAsia="zh-CN"/>
        </w:rPr>
        <w:t>丹河、北石店河、长河、白水河、犁川河、白洋泉河进行生态修复治理工程，同时开展水系连通及农村水系综合整治。</w:t>
      </w:r>
    </w:p>
    <w:p w14:paraId="023B8854">
      <w:pPr>
        <w:pStyle w:val="6"/>
      </w:pPr>
      <w:bookmarkStart w:id="57" w:name="_Toc36060057"/>
      <w:r>
        <w:rPr>
          <w:rFonts w:hint="eastAsia"/>
          <w:lang w:val="en-US" w:eastAsia="zh-CN"/>
        </w:rPr>
        <w:t>2.4.2</w:t>
      </w:r>
      <w:r>
        <w:t>饮用水水源地保护需求</w:t>
      </w:r>
      <w:bookmarkEnd w:id="57"/>
    </w:p>
    <w:p w14:paraId="6910156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eastAsia" w:eastAsia="宋体" w:cs="Times New Roman"/>
          <w:sz w:val="28"/>
          <w:szCs w:val="28"/>
          <w:lang w:val="en-US" w:eastAsia="zh-CN"/>
        </w:rPr>
        <w:t>泽州</w:t>
      </w:r>
      <w:r>
        <w:rPr>
          <w:rFonts w:hint="default" w:ascii="Times New Roman" w:hAnsi="Times New Roman" w:eastAsia="宋体" w:cs="Times New Roman"/>
          <w:sz w:val="28"/>
          <w:szCs w:val="28"/>
          <w:lang w:eastAsia="zh-CN"/>
        </w:rPr>
        <w:t>县有</w:t>
      </w:r>
      <w:r>
        <w:rPr>
          <w:rFonts w:hint="eastAsia" w:eastAsia="宋体" w:cs="Times New Roman"/>
          <w:sz w:val="28"/>
          <w:szCs w:val="28"/>
          <w:lang w:val="en-US" w:eastAsia="zh-CN"/>
        </w:rPr>
        <w:t>省人民政府批复的</w:t>
      </w:r>
      <w:r>
        <w:rPr>
          <w:rFonts w:hint="default" w:ascii="Times New Roman" w:hAnsi="Times New Roman" w:eastAsia="宋体" w:cs="Times New Roman"/>
          <w:sz w:val="28"/>
          <w:szCs w:val="28"/>
          <w:lang w:val="en-US" w:eastAsia="zh-CN"/>
        </w:rPr>
        <w:t>1</w:t>
      </w:r>
      <w:r>
        <w:rPr>
          <w:rFonts w:hint="eastAsia" w:eastAsia="宋体" w:cs="Times New Roman"/>
          <w:sz w:val="28"/>
          <w:szCs w:val="28"/>
          <w:lang w:val="en-US" w:eastAsia="zh-CN"/>
        </w:rPr>
        <w:t>8</w:t>
      </w:r>
      <w:r>
        <w:rPr>
          <w:rFonts w:hint="default" w:ascii="Times New Roman" w:hAnsi="Times New Roman" w:eastAsia="宋体" w:cs="Times New Roman"/>
          <w:sz w:val="28"/>
          <w:szCs w:val="28"/>
          <w:lang w:val="en-US" w:eastAsia="zh-CN"/>
        </w:rPr>
        <w:t>处</w:t>
      </w:r>
      <w:r>
        <w:rPr>
          <w:rFonts w:hint="default" w:ascii="Times New Roman" w:hAnsi="Times New Roman" w:eastAsia="宋体" w:cs="Times New Roman"/>
          <w:sz w:val="28"/>
          <w:szCs w:val="28"/>
          <w:lang w:eastAsia="zh-CN"/>
        </w:rPr>
        <w:t>饮用水水源地，</w:t>
      </w:r>
      <w:r>
        <w:rPr>
          <w:rFonts w:hint="default" w:ascii="Times New Roman" w:hAnsi="Times New Roman" w:eastAsia="宋体" w:cs="Times New Roman"/>
          <w:sz w:val="28"/>
          <w:szCs w:val="28"/>
        </w:rPr>
        <w:t>对水质不达标的饮用水水源地，应采取水源更换、集中供水、污染治理、细化达标措施等，确保饮用水水源地治理达标。</w:t>
      </w:r>
    </w:p>
    <w:p w14:paraId="3B8B4CE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饮用水水源地水质达标建设要求包括水质保护和区域综合治理两类。</w:t>
      </w:r>
    </w:p>
    <w:p w14:paraId="456F718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 1）水质保护</w:t>
      </w:r>
    </w:p>
    <w:p w14:paraId="06900C5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（1）地表水饮用水源地取水口供水水质达到或优于《地表水环境质量标准》（GB3838-2002）Ⅲ类标准（按基本项目和补充项目评价）。 </w:t>
      </w:r>
    </w:p>
    <w:p w14:paraId="42B0703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（2）地下水饮用水水源地供水水质达到或优于《地下水质量标准》（GB/T14848-1993）Ⅲ类标准。 </w:t>
      </w:r>
    </w:p>
    <w:p w14:paraId="4C0BC92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2）区域综合治理 </w:t>
      </w:r>
    </w:p>
    <w:p w14:paraId="4E0B649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（1）地表水饮用水水源地一级保护区内没有与供水设施和保护水源无关的建设项目和设施，二级保护内没有排放污染物的建设项目和设施，准保护区内没有对水体污染严重的建设项目和设施。</w:t>
      </w:r>
    </w:p>
    <w:p w14:paraId="5EA3C45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（2）地下水饮用水源地一级保护区没有与供水设施和保护水源无关的地下建设项目，二级保护区及准保护区内没有影响地下水质的开发利用活动和设施。</w:t>
      </w:r>
    </w:p>
    <w:p w14:paraId="18CACE8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（3）加强饮用水源地水源林、堤坡种草、生态湿地建设，落实水土保持、水源涵养和水质净化等措施。</w:t>
      </w:r>
    </w:p>
    <w:p w14:paraId="4CD7C17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color w:val="auto"/>
          <w:sz w:val="28"/>
          <w:szCs w:val="28"/>
        </w:rPr>
      </w:pPr>
      <w:r>
        <w:rPr>
          <w:rFonts w:hint="default" w:ascii="Times New Roman" w:hAnsi="Times New Roman" w:eastAsia="宋体" w:cs="Times New Roman"/>
          <w:sz w:val="28"/>
          <w:szCs w:val="28"/>
        </w:rPr>
        <w:t>通过以上措施，使全</w:t>
      </w:r>
      <w:r>
        <w:rPr>
          <w:rFonts w:hint="eastAsia" w:eastAsia="宋体" w:cs="Times New Roman"/>
          <w:sz w:val="28"/>
          <w:szCs w:val="28"/>
          <w:lang w:val="en-US" w:eastAsia="zh-CN"/>
        </w:rPr>
        <w:t>县</w:t>
      </w:r>
      <w:r>
        <w:rPr>
          <w:rFonts w:hint="default" w:ascii="Times New Roman" w:hAnsi="Times New Roman" w:eastAsia="宋体" w:cs="Times New Roman"/>
          <w:sz w:val="28"/>
          <w:szCs w:val="28"/>
        </w:rPr>
        <w:t>重要饮用水水源地达到</w:t>
      </w:r>
      <w:r>
        <w:rPr>
          <w:rFonts w:hint="eastAsia" w:eastAsia="宋体" w:cs="Times New Roman"/>
          <w:sz w:val="28"/>
          <w:szCs w:val="28"/>
          <w:lang w:eastAsia="zh-CN"/>
        </w:rPr>
        <w:t>“</w:t>
      </w:r>
      <w:r>
        <w:rPr>
          <w:rFonts w:hint="default" w:ascii="Times New Roman" w:hAnsi="Times New Roman" w:eastAsia="宋体" w:cs="Times New Roman"/>
          <w:sz w:val="28"/>
          <w:szCs w:val="28"/>
        </w:rPr>
        <w:t>水量保证、水质合格、监控完备、制度健全</w:t>
      </w:r>
      <w:r>
        <w:rPr>
          <w:rFonts w:hint="eastAsia" w:eastAsia="宋体" w:cs="Times New Roman"/>
          <w:sz w:val="28"/>
          <w:szCs w:val="28"/>
          <w:lang w:eastAsia="zh-CN"/>
        </w:rPr>
        <w:t>”</w:t>
      </w:r>
      <w:r>
        <w:rPr>
          <w:rFonts w:hint="default" w:ascii="Times New Roman" w:hAnsi="Times New Roman" w:eastAsia="宋体" w:cs="Times New Roman"/>
          <w:sz w:val="28"/>
          <w:szCs w:val="28"/>
        </w:rPr>
        <w:t>，初步建成重要饮用水水源地安全保障体系。使水源地供水保证率达到95%以上，地表水饮用水水源地取水口供水水质达到或优于《地表水环境质量标准》（GB3838-2002）Ⅲ类标准（按基本项目和补充项目评价），实现对水源地的安全监控和规范化管理。</w:t>
      </w:r>
    </w:p>
    <w:p w14:paraId="5B5DCCEF">
      <w:pPr>
        <w:pStyle w:val="6"/>
      </w:pPr>
      <w:bookmarkStart w:id="58" w:name="_Toc36060058"/>
      <w:r>
        <w:rPr>
          <w:rFonts w:hint="eastAsia"/>
          <w:lang w:val="en-US" w:eastAsia="zh-CN"/>
        </w:rPr>
        <w:t>2.4.3</w:t>
      </w:r>
      <w:r>
        <w:t>地下水超采区治理需求</w:t>
      </w:r>
      <w:bookmarkEnd w:id="58"/>
    </w:p>
    <w:p w14:paraId="7CCAD19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32"/>
        </w:rPr>
      </w:pPr>
      <w:r>
        <w:rPr>
          <w:rFonts w:hint="default" w:ascii="Times New Roman" w:hAnsi="Times New Roman" w:eastAsia="宋体" w:cs="Times New Roman"/>
          <w:sz w:val="28"/>
          <w:szCs w:val="32"/>
        </w:rPr>
        <w:t>泽州县</w:t>
      </w:r>
      <w:r>
        <w:rPr>
          <w:rFonts w:hint="eastAsia" w:eastAsia="宋体" w:cs="Times New Roman"/>
          <w:sz w:val="28"/>
          <w:szCs w:val="32"/>
          <w:lang w:eastAsia="zh-CN"/>
        </w:rPr>
        <w:t>“</w:t>
      </w:r>
      <w:r>
        <w:rPr>
          <w:rFonts w:hint="default" w:ascii="Times New Roman" w:hAnsi="Times New Roman" w:eastAsia="宋体" w:cs="Times New Roman"/>
          <w:sz w:val="28"/>
          <w:szCs w:val="32"/>
        </w:rPr>
        <w:t>十三五</w:t>
      </w:r>
      <w:r>
        <w:rPr>
          <w:rFonts w:hint="eastAsia" w:eastAsia="宋体" w:cs="Times New Roman"/>
          <w:sz w:val="28"/>
          <w:szCs w:val="32"/>
          <w:lang w:eastAsia="zh-CN"/>
        </w:rPr>
        <w:t>”</w:t>
      </w:r>
      <w:r>
        <w:rPr>
          <w:rFonts w:hint="default" w:ascii="Times New Roman" w:hAnsi="Times New Roman" w:eastAsia="宋体" w:cs="Times New Roman"/>
          <w:sz w:val="28"/>
          <w:szCs w:val="32"/>
        </w:rPr>
        <w:t>期间岩溶水总体上各年份均未超采，孔隙、裂隙水均超采，2014年~2018年年均超采量为1137.39万m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，2019年超采量为1084.37万m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，孔隙、裂隙水超采量基本呈逐年递减，但总体超采基数大。泽州县35km</w:t>
      </w:r>
      <w:r>
        <w:rPr>
          <w:rFonts w:hint="default" w:ascii="Times New Roman" w:hAnsi="Times New Roman" w:eastAsia="宋体" w:cs="Times New Roman"/>
          <w:sz w:val="28"/>
          <w:szCs w:val="32"/>
          <w:vertAlign w:val="superscript"/>
        </w:rPr>
        <w:t>2</w:t>
      </w:r>
      <w:r>
        <w:rPr>
          <w:rFonts w:hint="default" w:ascii="Times New Roman" w:hAnsi="Times New Roman" w:eastAsia="宋体" w:cs="Times New Roman"/>
          <w:sz w:val="28"/>
          <w:szCs w:val="32"/>
        </w:rPr>
        <w:t>小型岩溶水超采区（巴公集中超采区）2014年～2019年岩溶水各年均超载，且超载量呈波动的趋势，2014年~2018年年均超采量为167.31万m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，2019年超采量为173.08万m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。孔隙裂隙水超采量按1137.39万m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计，岩溶水超采量万173.08万m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计，则总超采量为1310.47万m</w:t>
      </w:r>
      <w:r>
        <w:rPr>
          <w:rFonts w:hint="default" w:ascii="Times New Roman" w:hAnsi="Times New Roman" w:eastAsia="宋体" w:cs="Times New Roman"/>
          <w:sz w:val="28"/>
          <w:szCs w:val="32"/>
          <w:vertAlign w:val="superscript"/>
        </w:rPr>
        <w:t>3</w:t>
      </w:r>
      <w:r>
        <w:rPr>
          <w:rFonts w:hint="default" w:ascii="Times New Roman" w:hAnsi="Times New Roman" w:eastAsia="宋体" w:cs="Times New Roman"/>
          <w:sz w:val="28"/>
          <w:szCs w:val="32"/>
        </w:rPr>
        <w:t>。</w:t>
      </w:r>
    </w:p>
    <w:p w14:paraId="1D3694AF">
      <w:pPr>
        <w:pStyle w:val="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sz w:val="28"/>
          <w:szCs w:val="30"/>
        </w:rPr>
      </w:pPr>
      <w:r>
        <w:rPr>
          <w:rFonts w:hint="default" w:ascii="Times New Roman" w:hAnsi="Times New Roman" w:eastAsia="宋体" w:cs="Times New Roman"/>
          <w:color w:val="auto"/>
          <w:sz w:val="28"/>
          <w:szCs w:val="32"/>
        </w:rPr>
        <w:t>泽州县</w:t>
      </w:r>
      <w:r>
        <w:rPr>
          <w:rFonts w:hint="default" w:ascii="Times New Roman" w:hAnsi="Times New Roman" w:eastAsia="宋体" w:cs="Times New Roman"/>
          <w:color w:val="auto"/>
          <w:sz w:val="28"/>
          <w:szCs w:val="30"/>
        </w:rPr>
        <w:t>压减治理措施包括：农业节水改造；工业企业超许可取水核减；工业节水改造；节水载体建设；城乡生活超指标取水核减；城镇供水管网改造；加快村镇生活供水设施及配套管网建设，推进使用农村节水器具；新建生态补水工程；新建中水利用工程；实施雨洪水资源化利用工程；关井压采；加大任庄水库使用率，同时进行任庄灌区现代化改造；完善计量监测体系；深化水价改革；建立水资源承载能力预警机制。通过以上措施可节水量约1395万m</w:t>
      </w:r>
      <w:r>
        <w:rPr>
          <w:rFonts w:hint="default" w:ascii="Times New Roman" w:hAnsi="Times New Roman" w:eastAsia="宋体" w:cs="Times New Roman"/>
          <w:color w:val="auto"/>
          <w:sz w:val="28"/>
          <w:szCs w:val="30"/>
          <w:vertAlign w:val="superscript"/>
        </w:rPr>
        <w:t>3</w:t>
      </w:r>
      <w:r>
        <w:rPr>
          <w:rFonts w:hint="default" w:ascii="Times New Roman" w:hAnsi="Times New Roman" w:eastAsia="宋体" w:cs="Times New Roman"/>
          <w:color w:val="auto"/>
          <w:sz w:val="28"/>
          <w:szCs w:val="30"/>
        </w:rPr>
        <w:t>。以上各项措施共需新增投资金额约12.2亿元。</w:t>
      </w:r>
    </w:p>
    <w:p w14:paraId="669DF51D">
      <w:pPr>
        <w:pStyle w:val="6"/>
        <w:keepNext/>
        <w:keepLines/>
        <w:pageBreakBefore w:val="0"/>
        <w:widowControl w:val="0"/>
        <w:kinsoku/>
        <w:wordWrap/>
        <w:overflowPunct/>
        <w:topLinePunct w:val="0"/>
        <w:autoSpaceDE/>
        <w:autoSpaceDN/>
        <w:bidi w:val="0"/>
        <w:adjustRightInd w:val="0"/>
        <w:snapToGrid w:val="0"/>
        <w:spacing w:after="0"/>
        <w:textAlignment w:val="auto"/>
      </w:pPr>
      <w:bookmarkStart w:id="59" w:name="_Toc36060060"/>
      <w:r>
        <w:rPr>
          <w:rFonts w:hint="eastAsia"/>
          <w:lang w:val="en-US" w:eastAsia="zh-CN"/>
        </w:rPr>
        <w:t>2.4.4</w:t>
      </w:r>
      <w:r>
        <w:t>水利基础设施空间保护与管理需求</w:t>
      </w:r>
      <w:bookmarkEnd w:id="59"/>
    </w:p>
    <w:p w14:paraId="45BD4A8A">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r>
        <w:rPr>
          <w:rFonts w:ascii="Times New Roman" w:hAnsi="Times New Roman"/>
        </w:rPr>
        <w:t>目前</w:t>
      </w:r>
      <w:r>
        <w:rPr>
          <w:rFonts w:hint="eastAsia" w:ascii="Times New Roman" w:hAnsi="Times New Roman"/>
          <w:lang w:val="en-US" w:eastAsia="zh-CN"/>
        </w:rPr>
        <w:t>泽州县</w:t>
      </w:r>
      <w:r>
        <w:rPr>
          <w:rFonts w:ascii="Times New Roman" w:hAnsi="Times New Roman"/>
        </w:rPr>
        <w:t>已建、在建的水利基础设施在工程设计阶段对设施空间和管理范围均有明确的界定，但是在工程完成后，由于受到自然条件、外界环境因素的干扰，水利基础设施管理范围只能体现在工程枢纽附近，而对于工程线路、水库库尾、堤防管理线的保护基本缺失，导致线路损毁，水库库周无序开发现象</w:t>
      </w:r>
      <w:r>
        <w:rPr>
          <w:rFonts w:hint="eastAsia" w:ascii="Times New Roman" w:hAnsi="Times New Roman"/>
        </w:rPr>
        <w:t>较为</w:t>
      </w:r>
      <w:r>
        <w:rPr>
          <w:rFonts w:ascii="Times New Roman" w:hAnsi="Times New Roman"/>
        </w:rPr>
        <w:t>严重，乡村段堤防出现为交通方</w:t>
      </w:r>
      <w:r>
        <w:rPr>
          <w:rFonts w:hint="eastAsia" w:ascii="Times New Roman" w:hAnsi="Times New Roman"/>
          <w:lang w:val="en-US" w:eastAsia="zh-CN"/>
        </w:rPr>
        <w:t>便</w:t>
      </w:r>
      <w:r>
        <w:rPr>
          <w:rFonts w:ascii="Times New Roman" w:hAnsi="Times New Roman"/>
        </w:rPr>
        <w:t>而破堤过河的情况。在目前水利基础设施空间保护较为不利的情况下，需继续开展水利基础设施的管理范围划定工作，对水利设施的保护需进一步加强，在距离枢纽较远，库周土地开发利益复杂的区域埋设界桩，明确管理范围，与自然资源部门及时对接，避免水利基础设施管理空间被蚕食，确保水利工程安全，从而保障防洪、供水安全。</w:t>
      </w:r>
    </w:p>
    <w:p w14:paraId="323BC1EF">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6C7F3806">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66310FFB">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13708F5F">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739D0628">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338339A3">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0C61ABA8">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700AD0CA">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196D9FE1">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1A05CB41">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654CDFB3">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04ABF626">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52646231">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3A72A556">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087AB341">
      <w:pPr>
        <w:pStyle w:val="4"/>
        <w:rPr>
          <w:rFonts w:hint="eastAsia"/>
          <w:lang w:val="en-US" w:eastAsia="zh-CN"/>
        </w:rPr>
      </w:pPr>
      <w:bookmarkStart w:id="60" w:name="_Toc13249"/>
      <w:r>
        <w:rPr>
          <w:rFonts w:hint="eastAsia"/>
          <w:lang w:val="en-US" w:eastAsia="zh-CN"/>
        </w:rPr>
        <w:t>3总体规划与水安全保障策略</w:t>
      </w:r>
      <w:bookmarkEnd w:id="60"/>
    </w:p>
    <w:p w14:paraId="1C18A62D">
      <w:pPr>
        <w:pStyle w:val="5"/>
      </w:pPr>
      <w:bookmarkStart w:id="61" w:name="_Toc18379"/>
      <w:r>
        <w:rPr>
          <w:rFonts w:hint="eastAsia"/>
          <w:lang w:val="en-US" w:eastAsia="zh-CN"/>
        </w:rPr>
        <w:t>3.1指导思想</w:t>
      </w:r>
      <w:bookmarkEnd w:id="61"/>
    </w:p>
    <w:p w14:paraId="12AF38E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以习近平新时代中国特色社会主义思想为指导，深入贯彻党的十九大和十九届二中、三中、四中、五中全会精神，落实“节水优先、空间均衡、系统治理、两手发力”的治水思路，统筹全县涉水国土空间开发与保护“一张图”，全面落实省、市、县重大战略，着力固底板、补短板、锻长板，以强化水资源承载能力刚性约束为导向，以划定涉水生态空间、优化水利基础设施空间布局、推进水生态系统保护修复为重点，以强化涉水空间管控和保护为抓手，遵循国土空间总体规划，加强与相关规划的相互协同，突出规划编制的科学性、协调性、实用性和可操作性，为推进水利基础设施建设和涉水生态空间管控保护提供依据。</w:t>
      </w:r>
    </w:p>
    <w:p w14:paraId="089FE92B">
      <w:pPr>
        <w:pStyle w:val="5"/>
        <w:rPr>
          <w:rFonts w:hint="default"/>
          <w:lang w:val="en-US"/>
        </w:rPr>
      </w:pPr>
      <w:bookmarkStart w:id="62" w:name="_Toc23386"/>
      <w:r>
        <w:rPr>
          <w:rFonts w:hint="eastAsia"/>
          <w:lang w:val="en-US" w:eastAsia="zh-CN"/>
        </w:rPr>
        <w:t>3.2基本原则</w:t>
      </w:r>
      <w:bookmarkEnd w:id="62"/>
    </w:p>
    <w:p w14:paraId="763A1D23">
      <w:pPr>
        <w:pStyle w:val="180"/>
        <w:keepNext w:val="0"/>
        <w:keepLines w:val="0"/>
        <w:pageBreakBefore w:val="0"/>
        <w:widowControl/>
        <w:kinsoku/>
        <w:wordWrap/>
        <w:overflowPunct/>
        <w:topLinePunct w:val="0"/>
        <w:autoSpaceDE/>
        <w:autoSpaceDN/>
        <w:bidi w:val="0"/>
        <w:adjustRightInd/>
        <w:snapToGrid w:val="0"/>
        <w:spacing w:line="360" w:lineRule="auto"/>
        <w:ind w:left="0" w:leftChars="0" w:firstLine="562" w:firstLineChars="200"/>
        <w:textAlignment w:val="auto"/>
        <w:rPr>
          <w:rFonts w:ascii="Times New Roman" w:hAnsi="Times New Roman"/>
        </w:rPr>
      </w:pPr>
      <w:r>
        <w:rPr>
          <w:rFonts w:hint="eastAsia" w:ascii="Times New Roman" w:hAnsi="Times New Roman"/>
          <w:b/>
          <w:bCs/>
        </w:rPr>
        <w:t>生态安全，强化监管。</w:t>
      </w:r>
      <w:r>
        <w:rPr>
          <w:rFonts w:hint="eastAsia" w:ascii="Times New Roman" w:hAnsi="Times New Roman"/>
        </w:rPr>
        <w:t xml:space="preserve">尊重自然、顺应自然、保护自然，坚持人与自然和谐，合理划定河湖水域岸线等涉水生态空间，明确生态功能定位，强化涉水生态空间分类管控要求，防止不合理开发建设活动对水生态系统损害。 </w:t>
      </w:r>
    </w:p>
    <w:p w14:paraId="1BC4A223">
      <w:pPr>
        <w:pStyle w:val="180"/>
        <w:keepNext w:val="0"/>
        <w:keepLines w:val="0"/>
        <w:pageBreakBefore w:val="0"/>
        <w:widowControl/>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rPr>
      </w:pPr>
      <w:r>
        <w:rPr>
          <w:rFonts w:hint="eastAsia" w:ascii="Times New Roman" w:hAnsi="Times New Roman"/>
          <w:b/>
          <w:bCs/>
        </w:rPr>
        <w:t>空间均衡，协同发展。</w:t>
      </w:r>
      <w:r>
        <w:rPr>
          <w:rFonts w:hint="eastAsia" w:ascii="Times New Roman" w:hAnsi="Times New Roman"/>
        </w:rPr>
        <w:t xml:space="preserve">强化水资源承载能力刚性约束，把水资源作为先导性、控制性和约束性要素，以水而定、量水而行、因水制宜，促进人口经济与水资源承载能力相均衡。 </w:t>
      </w:r>
    </w:p>
    <w:p w14:paraId="7E311588">
      <w:pPr>
        <w:pStyle w:val="180"/>
        <w:keepNext w:val="0"/>
        <w:keepLines w:val="0"/>
        <w:pageBreakBefore w:val="0"/>
        <w:widowControl/>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rPr>
      </w:pPr>
      <w:r>
        <w:rPr>
          <w:rFonts w:hint="eastAsia" w:ascii="Times New Roman" w:hAnsi="Times New Roman"/>
          <w:b/>
          <w:bCs/>
        </w:rPr>
        <w:t>系统治理，综合施策。</w:t>
      </w:r>
      <w:r>
        <w:rPr>
          <w:rFonts w:hint="eastAsia" w:ascii="Times New Roman" w:hAnsi="Times New Roman"/>
        </w:rPr>
        <w:t xml:space="preserve">树立山水林田湖草是一个生命共同体的系统思想，协调上下游、干支流、左右岸、地上地下、城市乡村，以流域为单元强化整体保护、系统修复、综合治理，统筹解决水灾害水资源水生态水环境问题。 </w:t>
      </w:r>
    </w:p>
    <w:p w14:paraId="0C0EA2F7">
      <w:pPr>
        <w:pStyle w:val="180"/>
        <w:keepNext w:val="0"/>
        <w:keepLines w:val="0"/>
        <w:pageBreakBefore w:val="0"/>
        <w:widowControl/>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rPr>
      </w:pPr>
      <w:r>
        <w:rPr>
          <w:rFonts w:hint="eastAsia" w:ascii="Times New Roman" w:hAnsi="Times New Roman"/>
          <w:b/>
          <w:bCs/>
        </w:rPr>
        <w:t>确有需要，合理布局。</w:t>
      </w:r>
      <w:r>
        <w:rPr>
          <w:rFonts w:hint="eastAsia" w:ascii="Times New Roman" w:hAnsi="Times New Roman"/>
        </w:rPr>
        <w:t xml:space="preserve">统筹考虑经济社会发展新形势及生态文明建设新要求，以有效保障经济社会高质量发展和人民群众高品质生活为出发点，完善水利基础设施网络布局，增强水安全保障能力。 </w:t>
      </w:r>
    </w:p>
    <w:p w14:paraId="1108B5E3">
      <w:pPr>
        <w:pStyle w:val="180"/>
        <w:keepNext w:val="0"/>
        <w:keepLines w:val="0"/>
        <w:pageBreakBefore w:val="0"/>
        <w:widowControl/>
        <w:kinsoku/>
        <w:wordWrap/>
        <w:overflowPunct/>
        <w:topLinePunct w:val="0"/>
        <w:autoSpaceDE/>
        <w:autoSpaceDN/>
        <w:bidi w:val="0"/>
        <w:adjustRightInd/>
        <w:snapToGrid w:val="0"/>
        <w:spacing w:line="360" w:lineRule="auto"/>
        <w:ind w:firstLine="562" w:firstLineChars="200"/>
        <w:textAlignment w:val="auto"/>
        <w:rPr>
          <w:rFonts w:hint="eastAsia" w:ascii="Times New Roman" w:hAnsi="Times New Roman"/>
        </w:rPr>
      </w:pPr>
      <w:r>
        <w:rPr>
          <w:rFonts w:hint="eastAsia" w:ascii="Times New Roman" w:hAnsi="Times New Roman"/>
          <w:b/>
          <w:bCs/>
        </w:rPr>
        <w:t>以人为本，保障民生。</w:t>
      </w:r>
      <w:r>
        <w:rPr>
          <w:rFonts w:hint="eastAsia" w:ascii="Times New Roman" w:hAnsi="Times New Roman"/>
        </w:rPr>
        <w:t xml:space="preserve">牢固树立以人民为中心的发展思想，着力解决人民群众最关心最直接的防洪、供水、灌溉、水生态等问题，不断提升水利公共服务均等化水平，提高人民群众安全感、获得感和幸福感。 </w:t>
      </w:r>
    </w:p>
    <w:p w14:paraId="223D6961">
      <w:pPr>
        <w:pStyle w:val="5"/>
        <w:rPr>
          <w:rFonts w:hint="default"/>
          <w:lang w:val="en-US"/>
        </w:rPr>
      </w:pPr>
      <w:bookmarkStart w:id="63" w:name="_Toc10324"/>
      <w:r>
        <w:rPr>
          <w:rFonts w:hint="eastAsia"/>
          <w:lang w:val="en-US" w:eastAsia="zh-CN"/>
        </w:rPr>
        <w:t>3.3规划依据</w:t>
      </w:r>
      <w:bookmarkEnd w:id="63"/>
    </w:p>
    <w:p w14:paraId="7AF57D9D">
      <w:pPr>
        <w:pStyle w:val="6"/>
        <w:keepNext/>
        <w:keepLines/>
        <w:pageBreakBefore w:val="0"/>
        <w:widowControl w:val="0"/>
        <w:kinsoku/>
        <w:wordWrap/>
        <w:overflowPunct/>
        <w:topLinePunct w:val="0"/>
        <w:autoSpaceDE/>
        <w:autoSpaceDN/>
        <w:bidi w:val="0"/>
        <w:adjustRightInd w:val="0"/>
        <w:snapToGrid w:val="0"/>
        <w:spacing w:after="0"/>
        <w:textAlignment w:val="auto"/>
        <w:rPr>
          <w:rFonts w:hint="default"/>
          <w:lang w:val="en-US"/>
        </w:rPr>
      </w:pPr>
      <w:r>
        <w:rPr>
          <w:rFonts w:hint="eastAsia"/>
          <w:lang w:val="en-US" w:eastAsia="zh-CN"/>
        </w:rPr>
        <w:t>3.3.1主要法律法规</w:t>
      </w:r>
    </w:p>
    <w:p w14:paraId="3DEA243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1、《中华人民共和国水法》；</w:t>
      </w:r>
    </w:p>
    <w:p w14:paraId="0AC0845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2、《中华人民共和国防洪法》；</w:t>
      </w:r>
    </w:p>
    <w:p w14:paraId="474423F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3、《中华人民共和国水污染防治法》；</w:t>
      </w:r>
    </w:p>
    <w:p w14:paraId="4DE87D2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4、《中华人民共和国水土保持法》；</w:t>
      </w:r>
    </w:p>
    <w:p w14:paraId="4C2FEEB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5、《中华人民共和国河道管理条例》；</w:t>
      </w:r>
    </w:p>
    <w:p w14:paraId="5AE7E4E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6、其它相关的国家法律法规。</w:t>
      </w:r>
    </w:p>
    <w:p w14:paraId="37D05A45">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default" w:ascii="Times New Roman" w:hAnsi="Times New Roman" w:eastAsia="宋体"/>
          <w:lang w:val="en-US" w:eastAsia="zh-CN"/>
        </w:rPr>
      </w:pPr>
      <w:r>
        <w:rPr>
          <w:rFonts w:hint="eastAsia" w:ascii="Times New Roman" w:hAnsi="Times New Roman" w:eastAsia="宋体"/>
          <w:lang w:val="en-US" w:eastAsia="zh-CN"/>
        </w:rPr>
        <w:t>3.3.2政策性文件</w:t>
      </w:r>
    </w:p>
    <w:p w14:paraId="68FBF60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1、</w:t>
      </w:r>
      <w:r>
        <w:rPr>
          <w:rFonts w:ascii="宋体" w:hAnsi="宋体" w:eastAsia="宋体" w:cs="宋体"/>
          <w:b w:val="0"/>
          <w:bCs w:val="0"/>
          <w:color w:val="000000"/>
          <w:kern w:val="0"/>
          <w:sz w:val="28"/>
          <w:szCs w:val="28"/>
          <w:lang w:val="en-US" w:eastAsia="zh-CN" w:bidi="ar"/>
        </w:rPr>
        <w:t>《中共中央国务院关于建立国土空间规划体系并监督实施的若干意见》</w:t>
      </w:r>
      <w:r>
        <w:rPr>
          <w:rFonts w:hint="eastAsia" w:ascii="宋体" w:hAnsi="宋体" w:eastAsia="宋体" w:cs="宋体"/>
          <w:b w:val="0"/>
          <w:bCs w:val="0"/>
          <w:color w:val="000000"/>
          <w:kern w:val="0"/>
          <w:sz w:val="28"/>
          <w:szCs w:val="28"/>
          <w:lang w:val="en-US" w:eastAsia="zh-CN" w:bidi="ar"/>
        </w:rPr>
        <w:t>；</w:t>
      </w:r>
    </w:p>
    <w:p w14:paraId="013E5C0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2、</w:t>
      </w:r>
      <w:r>
        <w:rPr>
          <w:rFonts w:ascii="宋体" w:hAnsi="宋体" w:eastAsia="宋体" w:cs="宋体"/>
          <w:b w:val="0"/>
          <w:bCs w:val="0"/>
          <w:color w:val="000000"/>
          <w:kern w:val="0"/>
          <w:sz w:val="28"/>
          <w:szCs w:val="28"/>
          <w:lang w:val="en-US" w:eastAsia="zh-CN" w:bidi="ar"/>
        </w:rPr>
        <w:t>《中共中央国务院关于统一规划体系更好发挥国家发展规划战略导向作用的意见》</w:t>
      </w:r>
      <w:r>
        <w:rPr>
          <w:rFonts w:hint="eastAsia" w:ascii="宋体" w:hAnsi="宋体" w:eastAsia="宋体" w:cs="宋体"/>
          <w:b w:val="0"/>
          <w:bCs w:val="0"/>
          <w:color w:val="000000"/>
          <w:kern w:val="0"/>
          <w:sz w:val="28"/>
          <w:szCs w:val="28"/>
          <w:lang w:val="en-US" w:eastAsia="zh-CN" w:bidi="ar"/>
        </w:rPr>
        <w:t>；</w:t>
      </w:r>
    </w:p>
    <w:p w14:paraId="1E33C6D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3、</w:t>
      </w:r>
      <w:r>
        <w:rPr>
          <w:rFonts w:ascii="宋体" w:hAnsi="宋体" w:eastAsia="宋体" w:cs="宋体"/>
          <w:b w:val="0"/>
          <w:bCs w:val="0"/>
          <w:color w:val="000000"/>
          <w:kern w:val="0"/>
          <w:sz w:val="28"/>
          <w:szCs w:val="28"/>
          <w:lang w:val="en-US" w:eastAsia="zh-CN" w:bidi="ar"/>
        </w:rPr>
        <w:t>《中共中央国务院关于加快推进生态文明建设的意见》</w:t>
      </w:r>
      <w:r>
        <w:rPr>
          <w:rFonts w:hint="eastAsia" w:ascii="宋体" w:hAnsi="宋体" w:eastAsia="宋体" w:cs="宋体"/>
          <w:b w:val="0"/>
          <w:bCs w:val="0"/>
          <w:color w:val="000000"/>
          <w:kern w:val="0"/>
          <w:sz w:val="28"/>
          <w:szCs w:val="28"/>
          <w:lang w:val="en-US" w:eastAsia="zh-CN" w:bidi="ar"/>
        </w:rPr>
        <w:t>；</w:t>
      </w:r>
    </w:p>
    <w:p w14:paraId="7D141ED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4、</w:t>
      </w:r>
      <w:r>
        <w:rPr>
          <w:rFonts w:ascii="宋体" w:hAnsi="宋体" w:eastAsia="宋体" w:cs="宋体"/>
          <w:b w:val="0"/>
          <w:bCs w:val="0"/>
          <w:color w:val="000000"/>
          <w:kern w:val="0"/>
          <w:sz w:val="28"/>
          <w:szCs w:val="28"/>
          <w:lang w:val="en-US" w:eastAsia="zh-CN" w:bidi="ar"/>
        </w:rPr>
        <w:t>《中共中央国务院关于划定并严守生态保护红线的若干意见》</w:t>
      </w:r>
      <w:r>
        <w:rPr>
          <w:rFonts w:hint="eastAsia" w:ascii="宋体" w:hAnsi="宋体" w:eastAsia="宋体" w:cs="宋体"/>
          <w:b w:val="0"/>
          <w:bCs w:val="0"/>
          <w:color w:val="000000"/>
          <w:kern w:val="0"/>
          <w:sz w:val="28"/>
          <w:szCs w:val="28"/>
          <w:lang w:val="en-US" w:eastAsia="zh-CN" w:bidi="ar"/>
        </w:rPr>
        <w:t>；</w:t>
      </w:r>
    </w:p>
    <w:p w14:paraId="022387D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sz w:val="28"/>
          <w:szCs w:val="28"/>
        </w:rPr>
      </w:pPr>
      <w:r>
        <w:rPr>
          <w:rFonts w:hint="eastAsia" w:ascii="宋体" w:hAnsi="宋体" w:eastAsia="宋体" w:cs="宋体"/>
          <w:b w:val="0"/>
          <w:bCs w:val="0"/>
          <w:color w:val="000000"/>
          <w:kern w:val="0"/>
          <w:sz w:val="28"/>
          <w:szCs w:val="28"/>
          <w:lang w:val="en-US" w:eastAsia="zh-CN" w:bidi="ar"/>
        </w:rPr>
        <w:t>5、</w:t>
      </w:r>
      <w:r>
        <w:rPr>
          <w:rFonts w:ascii="宋体" w:hAnsi="宋体" w:eastAsia="宋体" w:cs="宋体"/>
          <w:b w:val="0"/>
          <w:bCs w:val="0"/>
          <w:color w:val="000000"/>
          <w:kern w:val="0"/>
          <w:sz w:val="28"/>
          <w:szCs w:val="28"/>
          <w:lang w:val="en-US" w:eastAsia="zh-CN" w:bidi="ar"/>
        </w:rPr>
        <w:t>《省级空间规划水利相关工作技术指导意见（试行）》等。</w:t>
      </w:r>
    </w:p>
    <w:p w14:paraId="38BE0386">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eastAsia" w:ascii="Times New Roman" w:hAnsi="Times New Roman" w:eastAsia="宋体"/>
          <w:lang w:val="en-US" w:eastAsia="zh-CN"/>
        </w:rPr>
      </w:pPr>
      <w:r>
        <w:rPr>
          <w:rFonts w:hint="eastAsia" w:ascii="Times New Roman" w:hAnsi="Times New Roman" w:eastAsia="宋体"/>
          <w:lang w:val="en-US" w:eastAsia="zh-CN"/>
        </w:rPr>
        <w:t>3.3.3规程规范</w:t>
      </w:r>
    </w:p>
    <w:p w14:paraId="56BAB8B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（1）《防洪标准》(GB50201-2014)； </w:t>
      </w:r>
    </w:p>
    <w:p w14:paraId="00612D8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（2）《堤防工程设计规范》(GB50286-2013)； </w:t>
      </w:r>
    </w:p>
    <w:p w14:paraId="4692DCF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（3）《水功能区划分标准》(GB/T 50594-2010)； </w:t>
      </w:r>
    </w:p>
    <w:p w14:paraId="2616725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（4）《河道整治设计规范》(GB 50707-2011)； </w:t>
      </w:r>
    </w:p>
    <w:p w14:paraId="7F16BCB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（5）《水库工程管理设计规范》(SL 106-2017)； </w:t>
      </w:r>
    </w:p>
    <w:p w14:paraId="5571803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（6）《堤防工程管理设计规范》(SL 171-2020)； </w:t>
      </w:r>
    </w:p>
    <w:p w14:paraId="59BCD26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（7）《江河流域规划编制规范》(SL201-2015)； </w:t>
      </w:r>
    </w:p>
    <w:p w14:paraId="76335B4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（8）《水利工程水利计算规范》(SL104-2015)； </w:t>
      </w:r>
    </w:p>
    <w:p w14:paraId="5DEF386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（9）《水资源供需预测分析技术规范》(SL429-2008)； </w:t>
      </w:r>
    </w:p>
    <w:p w14:paraId="22DE22C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（10）《饮用水水源保护区划分技术规范》(HJT338-2018)； </w:t>
      </w:r>
    </w:p>
    <w:p w14:paraId="0EC1BEB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（11）《国土空间总体规划编制导则(试行)》； </w:t>
      </w:r>
    </w:p>
    <w:p w14:paraId="0450D15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 xml:space="preserve">（12）《生态保护红线划定技术指南》(2015年)； </w:t>
      </w:r>
    </w:p>
    <w:p w14:paraId="55B2789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（13）《河湖岸线保护与利用规划编制指南(试行)》(2019年)</w:t>
      </w:r>
      <w:r>
        <w:rPr>
          <w:rFonts w:hint="eastAsia" w:eastAsia="宋体" w:cs="Times New Roman"/>
          <w:b w:val="0"/>
          <w:bCs w:val="0"/>
          <w:color w:val="000000"/>
          <w:kern w:val="0"/>
          <w:sz w:val="28"/>
          <w:szCs w:val="28"/>
          <w:lang w:val="en-US" w:eastAsia="zh-CN" w:bidi="ar"/>
        </w:rPr>
        <w:t>；</w:t>
      </w:r>
    </w:p>
    <w:p w14:paraId="1417E51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eastAsia" w:eastAsia="宋体" w:cs="Times New Roman"/>
          <w:b w:val="0"/>
          <w:bCs w:val="0"/>
          <w:color w:val="000000"/>
          <w:kern w:val="0"/>
          <w:sz w:val="28"/>
          <w:szCs w:val="28"/>
          <w:lang w:val="en-US" w:eastAsia="zh-CN" w:bidi="ar"/>
        </w:rPr>
        <w:t>（14）《山西省河湖和水库工程管划界技术规定》（2018年）。</w:t>
      </w:r>
    </w:p>
    <w:p w14:paraId="6B2341AA">
      <w:pPr>
        <w:pStyle w:val="5"/>
        <w:rPr>
          <w:rFonts w:hint="default"/>
          <w:lang w:val="en-US"/>
        </w:rPr>
      </w:pPr>
      <w:bookmarkStart w:id="64" w:name="_Toc1636"/>
      <w:r>
        <w:rPr>
          <w:rFonts w:hint="eastAsia"/>
          <w:lang w:val="en-US" w:eastAsia="zh-CN"/>
        </w:rPr>
        <w:t>3.4规划水平年</w:t>
      </w:r>
      <w:bookmarkEnd w:id="64"/>
    </w:p>
    <w:p w14:paraId="5DD36DB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eastAsia" w:ascii="Times New Roman" w:hAnsi="Times New Roman" w:eastAsia="宋体" w:cs="Times New Roman"/>
          <w:b w:val="0"/>
          <w:bCs w:val="0"/>
          <w:color w:val="000000"/>
          <w:kern w:val="0"/>
          <w:sz w:val="28"/>
          <w:szCs w:val="28"/>
          <w:lang w:val="en-US" w:eastAsia="zh-CN" w:bidi="ar"/>
        </w:rPr>
        <w:t>近期水平年2025年，中期水平年2035年，展望到2050年。现状基准年为20</w:t>
      </w:r>
      <w:r>
        <w:rPr>
          <w:rFonts w:hint="eastAsia" w:eastAsia="宋体" w:cs="Times New Roman"/>
          <w:b w:val="0"/>
          <w:bCs w:val="0"/>
          <w:color w:val="000000"/>
          <w:kern w:val="0"/>
          <w:sz w:val="28"/>
          <w:szCs w:val="28"/>
          <w:lang w:val="en-US" w:eastAsia="zh-CN" w:bidi="ar"/>
        </w:rPr>
        <w:t>20</w:t>
      </w:r>
      <w:r>
        <w:rPr>
          <w:rFonts w:hint="eastAsia" w:ascii="Times New Roman" w:hAnsi="Times New Roman" w:eastAsia="宋体" w:cs="Times New Roman"/>
          <w:b w:val="0"/>
          <w:bCs w:val="0"/>
          <w:color w:val="000000"/>
          <w:kern w:val="0"/>
          <w:sz w:val="28"/>
          <w:szCs w:val="28"/>
          <w:lang w:val="en-US" w:eastAsia="zh-CN" w:bidi="ar"/>
        </w:rPr>
        <w:t xml:space="preserve">年，视资料整编和相关工作情况，采用最新数据和成果。 </w:t>
      </w:r>
    </w:p>
    <w:p w14:paraId="2BA66A10">
      <w:pPr>
        <w:pStyle w:val="5"/>
        <w:rPr>
          <w:rFonts w:hint="default"/>
          <w:lang w:val="en-US"/>
        </w:rPr>
      </w:pPr>
      <w:bookmarkStart w:id="65" w:name="_Toc18795"/>
      <w:r>
        <w:rPr>
          <w:rFonts w:hint="eastAsia"/>
          <w:lang w:val="en-US" w:eastAsia="zh-CN"/>
        </w:rPr>
        <w:t>3.5规划范围</w:t>
      </w:r>
      <w:bookmarkEnd w:id="65"/>
    </w:p>
    <w:p w14:paraId="223E48B8">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hint="eastAsia" w:ascii="Times New Roman" w:hAnsi="Times New Roman"/>
        </w:rPr>
      </w:pPr>
      <w:r>
        <w:rPr>
          <w:rFonts w:hint="eastAsia" w:ascii="Times New Roman" w:hAnsi="Times New Roman"/>
        </w:rPr>
        <w:t>本次水利基础设施规划范围为</w:t>
      </w:r>
      <w:r>
        <w:rPr>
          <w:rFonts w:hint="eastAsia" w:ascii="Times New Roman" w:hAnsi="Times New Roman"/>
          <w:lang w:val="en-US" w:eastAsia="zh-CN"/>
        </w:rPr>
        <w:t>泽州县</w:t>
      </w:r>
      <w:r>
        <w:rPr>
          <w:rFonts w:hint="eastAsia" w:ascii="Times New Roman" w:hAnsi="Times New Roman"/>
        </w:rPr>
        <w:t>全境，国土面积</w:t>
      </w:r>
      <w:r>
        <w:rPr>
          <w:rFonts w:hint="eastAsia" w:ascii="Times New Roman" w:hAnsi="Times New Roman"/>
          <w:lang w:val="en-US" w:eastAsia="zh-CN"/>
        </w:rPr>
        <w:t>2024.42</w:t>
      </w:r>
      <w:r>
        <w:rPr>
          <w:rFonts w:hint="eastAsia" w:ascii="Times New Roman" w:hAnsi="Times New Roman"/>
        </w:rPr>
        <w:t xml:space="preserve">km²。 </w:t>
      </w:r>
    </w:p>
    <w:p w14:paraId="0BAD8470">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hint="eastAsia" w:ascii="Times New Roman" w:hAnsi="Times New Roman"/>
        </w:rPr>
      </w:pPr>
      <w:r>
        <w:rPr>
          <w:rFonts w:hint="eastAsia" w:ascii="Times New Roman" w:hAnsi="Times New Roman"/>
        </w:rPr>
        <w:t>结合《</w:t>
      </w:r>
      <w:r>
        <w:rPr>
          <w:rFonts w:hint="eastAsia" w:ascii="Times New Roman" w:hAnsi="Times New Roman"/>
          <w:lang w:val="en-US" w:eastAsia="zh-CN"/>
        </w:rPr>
        <w:t>山西</w:t>
      </w:r>
      <w:r>
        <w:rPr>
          <w:rFonts w:hint="eastAsia" w:ascii="Times New Roman" w:hAnsi="Times New Roman"/>
        </w:rPr>
        <w:t>省水利基础设施空间布局规划编制技术大纲》，本次水利基础设施空间主要划定</w:t>
      </w:r>
      <w:r>
        <w:rPr>
          <w:rFonts w:hint="eastAsia" w:ascii="Times New Roman" w:hAnsi="Times New Roman"/>
          <w:lang w:val="en-US" w:eastAsia="zh-CN"/>
        </w:rPr>
        <w:t>县</w:t>
      </w:r>
      <w:r>
        <w:rPr>
          <w:rFonts w:hint="eastAsia" w:ascii="Times New Roman" w:hAnsi="Times New Roman"/>
        </w:rPr>
        <w:t>域内具有重要水生态功能的涉水生态空间，明确</w:t>
      </w:r>
      <w:r>
        <w:rPr>
          <w:rFonts w:hint="eastAsia" w:ascii="Times New Roman" w:hAnsi="Times New Roman"/>
          <w:lang w:val="en-US" w:eastAsia="zh-CN"/>
        </w:rPr>
        <w:t>县</w:t>
      </w:r>
      <w:r>
        <w:rPr>
          <w:rFonts w:hint="eastAsia" w:ascii="Times New Roman" w:hAnsi="Times New Roman"/>
        </w:rPr>
        <w:t>域内主要水利基础设施的空间布局，提出</w:t>
      </w:r>
      <w:r>
        <w:rPr>
          <w:rFonts w:hint="eastAsia" w:ascii="Times New Roman" w:hAnsi="Times New Roman"/>
          <w:lang w:val="en-US" w:eastAsia="zh-CN"/>
        </w:rPr>
        <w:t>县</w:t>
      </w:r>
      <w:r>
        <w:rPr>
          <w:rFonts w:hint="eastAsia" w:ascii="Times New Roman" w:hAnsi="Times New Roman"/>
        </w:rPr>
        <w:t xml:space="preserve">级层面的约束指标和管控要求。具体划定范围如下： </w:t>
      </w:r>
    </w:p>
    <w:p w14:paraId="263A7FB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sz w:val="28"/>
          <w:szCs w:val="28"/>
        </w:rPr>
      </w:pPr>
      <w:r>
        <w:rPr>
          <w:rFonts w:hint="eastAsia" w:ascii="宋体" w:hAnsi="宋体" w:eastAsia="宋体" w:cs="宋体"/>
          <w:b/>
          <w:bCs/>
          <w:color w:val="000000"/>
          <w:kern w:val="0"/>
          <w:sz w:val="28"/>
          <w:szCs w:val="28"/>
          <w:lang w:val="en-US" w:eastAsia="zh-CN" w:bidi="ar"/>
        </w:rPr>
        <w:t>1、涉水生态空间</w:t>
      </w:r>
    </w:p>
    <w:p w14:paraId="59FA7626">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（1）河道</w:t>
      </w:r>
    </w:p>
    <w:p w14:paraId="4EB4CBF2">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000000"/>
          <w:kern w:val="0"/>
          <w:sz w:val="28"/>
          <w:szCs w:val="28"/>
          <w:highlight w:val="yellow"/>
          <w:lang w:val="en-US" w:eastAsia="zh-CN" w:bidi="ar"/>
        </w:rPr>
      </w:pPr>
      <w:r>
        <w:rPr>
          <w:rFonts w:hint="eastAsia" w:eastAsia="宋体" w:cs="Times New Roman"/>
          <w:b w:val="0"/>
          <w:bCs w:val="0"/>
          <w:color w:val="000000"/>
          <w:kern w:val="0"/>
          <w:sz w:val="28"/>
          <w:szCs w:val="28"/>
          <w:lang w:val="en-US" w:eastAsia="zh-CN" w:bidi="ar"/>
        </w:rPr>
        <w:t>为</w:t>
      </w:r>
      <w:r>
        <w:rPr>
          <w:rFonts w:hint="default" w:ascii="Times New Roman" w:hAnsi="Times New Roman" w:eastAsia="宋体" w:cs="Times New Roman"/>
          <w:b w:val="0"/>
          <w:bCs w:val="0"/>
          <w:color w:val="000000"/>
          <w:kern w:val="0"/>
          <w:sz w:val="28"/>
          <w:szCs w:val="28"/>
          <w:lang w:val="en-US" w:eastAsia="zh-CN" w:bidi="ar"/>
        </w:rPr>
        <w:t>流域面积50km</w:t>
      </w:r>
      <w:r>
        <w:rPr>
          <w:rFonts w:hint="default" w:ascii="Times New Roman" w:hAnsi="Times New Roman" w:eastAsia="宋体" w:cs="Times New Roman"/>
          <w:b w:val="0"/>
          <w:bCs w:val="0"/>
          <w:color w:val="000000"/>
          <w:kern w:val="0"/>
          <w:sz w:val="28"/>
          <w:szCs w:val="28"/>
          <w:vertAlign w:val="superscript"/>
          <w:lang w:val="en-US" w:eastAsia="zh-CN" w:bidi="ar"/>
        </w:rPr>
        <w:t>2</w:t>
      </w:r>
      <w:r>
        <w:rPr>
          <w:rFonts w:hint="default" w:ascii="Times New Roman" w:hAnsi="Times New Roman" w:eastAsia="宋体" w:cs="Times New Roman"/>
          <w:b w:val="0"/>
          <w:bCs w:val="0"/>
          <w:color w:val="000000"/>
          <w:kern w:val="0"/>
          <w:sz w:val="28"/>
          <w:szCs w:val="28"/>
          <w:lang w:val="en-US" w:eastAsia="zh-CN" w:bidi="ar"/>
        </w:rPr>
        <w:t>以上</w:t>
      </w:r>
      <w:r>
        <w:rPr>
          <w:rFonts w:hint="eastAsia" w:ascii="Times New Roman" w:hAnsi="Times New Roman" w:eastAsia="宋体" w:cs="Times New Roman"/>
          <w:b w:val="0"/>
          <w:bCs w:val="0"/>
          <w:color w:val="000000"/>
          <w:kern w:val="0"/>
          <w:sz w:val="28"/>
          <w:szCs w:val="28"/>
          <w:lang w:val="en-US" w:eastAsia="zh-CN" w:bidi="ar"/>
        </w:rPr>
        <w:t>河流的</w:t>
      </w:r>
      <w:r>
        <w:rPr>
          <w:rFonts w:hint="eastAsia" w:ascii="宋体" w:hAnsi="宋体" w:eastAsia="宋体" w:cs="宋体"/>
          <w:b w:val="0"/>
          <w:bCs w:val="0"/>
          <w:color w:val="000000"/>
          <w:kern w:val="0"/>
          <w:sz w:val="28"/>
          <w:szCs w:val="28"/>
          <w:lang w:val="en-US" w:eastAsia="zh-CN" w:bidi="ar"/>
        </w:rPr>
        <w:t>涉水生态</w:t>
      </w:r>
      <w:r>
        <w:rPr>
          <w:rFonts w:hint="eastAsia" w:ascii="宋体" w:hAnsi="宋体" w:eastAsia="宋体" w:cs="宋体"/>
          <w:b w:val="0"/>
          <w:bCs w:val="0"/>
          <w:color w:val="000000"/>
          <w:kern w:val="0"/>
          <w:sz w:val="28"/>
          <w:szCs w:val="28"/>
          <w:highlight w:val="none"/>
          <w:lang w:val="en-US" w:eastAsia="zh-CN" w:bidi="ar"/>
        </w:rPr>
        <w:t>空间范围划定。本规划共涉及河流共18条，其中省级河道1条，主要为沁河；市级河道5条，分别为丹河、白水河、白洋泉河、东大河、长河；县级河道12条，分别为卫河、北石店河、巴公河、大阳河、白涧河、大箕河、犁川河、仙神河、逍遥石河、冶底河、南村河、郑村河。</w:t>
      </w:r>
    </w:p>
    <w:p w14:paraId="0E2DDB0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（2）饮用水源地</w:t>
      </w:r>
    </w:p>
    <w:p w14:paraId="1917CF6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根据山西省人民政府《关于同意晋城市乡镇集中式饮用水水源地保护区划定方案的批复》，泽州县重要饮用水水源地共18处，主要包括南村镇集中供水水源地、下村镇集中供水水源地、大东沟镇集中供水水源地、周村镇集中供水水源地、犁川镇集中供水水源地、晋庙铺镇集中供水水源地、金村镇集中供水水源地、高都镇集中供水水源地、巴公二村集中供水水源地、巴公一村集中供水水源地、大阳镇集中供水水源地、山河镇盗宝河水源地、大箕镇集中供水水源地、柳口镇玛琅水源地、北义城镇集中供水水源地、川底集中供水水源地、李寨集中供水水源地、南岭集中供水水源地。已划定保护区的集中式饮用水水源地，其涉水生态空间包括一级区、二级区在内的全部区域。</w:t>
      </w:r>
    </w:p>
    <w:p w14:paraId="23FCA33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0" w:leftChars="0" w:firstLine="560" w:firstLineChars="200"/>
        <w:jc w:val="left"/>
        <w:textAlignment w:val="auto"/>
        <w:rPr>
          <w:sz w:val="28"/>
          <w:szCs w:val="28"/>
        </w:rPr>
      </w:pPr>
      <w:r>
        <w:rPr>
          <w:rFonts w:ascii="Times New Roman" w:hAnsi="Times New Roman" w:eastAsia="仿宋" w:cs="Times New Roman"/>
          <w:kern w:val="2"/>
          <w:sz w:val="28"/>
          <w:szCs w:val="28"/>
          <w:lang w:val="en-US" w:eastAsia="zh-CN" w:bidi="ar-SA"/>
        </w:rPr>
        <w:t>（</w:t>
      </w:r>
      <w:r>
        <w:rPr>
          <w:rFonts w:hint="eastAsia" w:cs="Times New Roman"/>
          <w:kern w:val="2"/>
          <w:sz w:val="28"/>
          <w:szCs w:val="28"/>
          <w:lang w:val="en-US" w:eastAsia="zh-CN" w:bidi="ar-SA"/>
        </w:rPr>
        <w:t>3</w:t>
      </w:r>
      <w:r>
        <w:rPr>
          <w:rFonts w:ascii="Times New Roman" w:hAnsi="Times New Roman" w:eastAsia="仿宋" w:cs="Times New Roman"/>
          <w:kern w:val="2"/>
          <w:sz w:val="28"/>
          <w:szCs w:val="28"/>
          <w:lang w:val="en-US" w:eastAsia="zh-CN" w:bidi="ar-SA"/>
        </w:rPr>
        <w:t>）</w:t>
      </w:r>
      <w:r>
        <w:rPr>
          <w:rFonts w:hint="eastAsia" w:ascii="宋体" w:hAnsi="宋体" w:eastAsia="宋体" w:cs="宋体"/>
          <w:b w:val="0"/>
          <w:bCs w:val="0"/>
          <w:color w:val="000000"/>
          <w:kern w:val="0"/>
          <w:sz w:val="28"/>
          <w:szCs w:val="28"/>
          <w:lang w:val="en-US" w:eastAsia="zh-CN" w:bidi="ar"/>
        </w:rPr>
        <w:t>水土流失治理区和水源涵养区</w:t>
      </w:r>
    </w:p>
    <w:p w14:paraId="4854E9D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将对泽州县流域区域水源涵养保护具有重要意义的河流源头水源涵养区、地下水水源涵养保护区等，纳入水源涵养生态空间。将水土流失重点预防区和水土流失重点治理区、水土保持功能区等，纳入水土保持生态空间，同时与城镇空间和农业空间协调衔接。</w:t>
      </w:r>
    </w:p>
    <w:p w14:paraId="1F98B5A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目前，泽州县水土流失重点治理区域主要包括东沟、川底黑泉沟流域治理、白洋泉河流域水土保持综合治理等。</w:t>
      </w:r>
    </w:p>
    <w:p w14:paraId="726A0DC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泽州县水源涵养区情况如下：</w:t>
      </w:r>
    </w:p>
    <w:p w14:paraId="5868A11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极重要地区：主要分布在以森林植被（阔叶林、针阔混交林）为主的山地地区，主要集中在泽州县的南部，包括山河镇、晋庙铺镇、南岭。</w:t>
      </w:r>
      <w:r>
        <w:rPr>
          <w:rFonts w:hint="eastAsia" w:ascii="宋体" w:hAnsi="宋体" w:eastAsia="宋体" w:cs="宋体"/>
          <w:b w:val="0"/>
          <w:bCs w:val="0"/>
          <w:color w:val="000000"/>
          <w:kern w:val="0"/>
          <w:sz w:val="28"/>
          <w:szCs w:val="28"/>
          <w:highlight w:val="none"/>
          <w:lang w:val="en-US" w:eastAsia="zh-CN" w:bidi="ar"/>
        </w:rPr>
        <w:br w:type="textWrapping"/>
      </w:r>
      <w:r>
        <w:rPr>
          <w:rFonts w:hint="eastAsia" w:ascii="宋体" w:hAnsi="宋体" w:eastAsia="宋体" w:cs="宋体"/>
          <w:b w:val="0"/>
          <w:bCs w:val="0"/>
          <w:color w:val="000000"/>
          <w:kern w:val="0"/>
          <w:sz w:val="28"/>
          <w:szCs w:val="28"/>
          <w:highlight w:val="none"/>
          <w:lang w:val="en-US" w:eastAsia="zh-CN" w:bidi="ar"/>
        </w:rPr>
        <w:t xml:space="preserve">    重要地区：在全县的分布较广，主要分布在以森林植被（针叶林）为主的山地地区，集中于县域的南部，如李寨、南岭、山河镇、犁川镇、晋庙铺镇、大箕镇的南部、金村镇的南部、柳树口镇的大部分。</w:t>
      </w:r>
      <w:r>
        <w:rPr>
          <w:rFonts w:hint="eastAsia" w:ascii="宋体" w:hAnsi="宋体" w:eastAsia="宋体" w:cs="宋体"/>
          <w:b w:val="0"/>
          <w:bCs w:val="0"/>
          <w:color w:val="000000"/>
          <w:kern w:val="0"/>
          <w:sz w:val="28"/>
          <w:szCs w:val="28"/>
          <w:highlight w:val="none"/>
          <w:lang w:val="en-US" w:eastAsia="zh-CN" w:bidi="ar"/>
        </w:rPr>
        <w:br w:type="textWrapping"/>
      </w:r>
      <w:r>
        <w:rPr>
          <w:rFonts w:hint="eastAsia" w:ascii="宋体" w:hAnsi="宋体" w:eastAsia="宋体" w:cs="宋体"/>
          <w:b w:val="0"/>
          <w:bCs w:val="0"/>
          <w:color w:val="000000"/>
          <w:kern w:val="0"/>
          <w:sz w:val="28"/>
          <w:szCs w:val="28"/>
          <w:highlight w:val="none"/>
          <w:lang w:val="en-US" w:eastAsia="zh-CN" w:bidi="ar"/>
        </w:rPr>
        <w:t>   比较重要地区：分布最广，主要分布在未成林造林地、灌木林地和草地的丘陵地区，集中于县域的北部、西部，如下村镇、大东沟镇、川底、周村镇、南村镇、大箕镇的北部、北义城镇、高都镇的东部、金村镇的东部、柳树口镇的北部。</w:t>
      </w:r>
    </w:p>
    <w:p w14:paraId="6EFB5B9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default"/>
          <w:sz w:val="28"/>
          <w:szCs w:val="28"/>
          <w:highlight w:val="none"/>
          <w:lang w:val="en-US"/>
        </w:rPr>
      </w:pPr>
      <w:r>
        <w:rPr>
          <w:rFonts w:hint="eastAsia" w:ascii="宋体" w:hAnsi="宋体" w:eastAsia="宋体" w:cs="宋体"/>
          <w:b w:val="0"/>
          <w:bCs w:val="0"/>
          <w:color w:val="000000"/>
          <w:kern w:val="0"/>
          <w:sz w:val="28"/>
          <w:szCs w:val="28"/>
          <w:highlight w:val="none"/>
          <w:lang w:val="en-US" w:eastAsia="zh-CN" w:bidi="ar"/>
        </w:rPr>
        <w:t>一般地区：主要分布在农田、荒地、平原地区，集中于泽州县域的中部，如今村镇的北部、高都镇的西部、巴公镇的大部分地区、北义城镇的周边、大阳镇的东北部。</w:t>
      </w:r>
    </w:p>
    <w:p w14:paraId="7FB8F68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sz w:val="28"/>
          <w:szCs w:val="28"/>
          <w:lang w:val="en-US"/>
        </w:rPr>
      </w:pPr>
      <w:r>
        <w:rPr>
          <w:rFonts w:hint="eastAsia" w:ascii="宋体" w:hAnsi="宋体" w:eastAsia="宋体" w:cs="宋体"/>
          <w:b/>
          <w:bCs/>
          <w:color w:val="000000"/>
          <w:kern w:val="0"/>
          <w:sz w:val="28"/>
          <w:szCs w:val="28"/>
          <w:lang w:val="en-US" w:eastAsia="zh-CN" w:bidi="ar"/>
        </w:rPr>
        <w:t>2、已建、在建及规划水利基础设施</w:t>
      </w:r>
    </w:p>
    <w:p w14:paraId="0C159D7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对已建、在建的重要水利工程建设用地按照批复的范围纳入本规划。对已列入国家、省、市</w:t>
      </w:r>
      <w:r>
        <w:rPr>
          <w:rFonts w:hint="eastAsia" w:ascii="宋体" w:hAnsi="宋体" w:eastAsia="宋体" w:cs="宋体"/>
          <w:b w:val="0"/>
          <w:bCs w:val="0"/>
          <w:color w:val="000000"/>
          <w:sz w:val="28"/>
          <w:szCs w:val="28"/>
          <w:lang w:eastAsia="zh-CN"/>
        </w:rPr>
        <w:t>、</w:t>
      </w:r>
      <w:r>
        <w:rPr>
          <w:rFonts w:hint="eastAsia" w:ascii="宋体" w:hAnsi="宋体" w:eastAsia="宋体" w:cs="宋体"/>
          <w:b w:val="0"/>
          <w:bCs w:val="0"/>
          <w:color w:val="000000"/>
          <w:sz w:val="28"/>
          <w:szCs w:val="28"/>
          <w:lang w:val="en-US" w:eastAsia="zh-CN"/>
        </w:rPr>
        <w:t>县</w:t>
      </w:r>
      <w:r>
        <w:rPr>
          <w:rFonts w:hint="eastAsia" w:ascii="宋体" w:hAnsi="宋体" w:eastAsia="宋体" w:cs="宋体"/>
          <w:b w:val="0"/>
          <w:bCs w:val="0"/>
          <w:color w:val="000000"/>
          <w:sz w:val="28"/>
          <w:szCs w:val="28"/>
        </w:rPr>
        <w:t xml:space="preserve">批复的综合规划、专项规划、区域规划中的重点水利基础设施，直接纳入本规划。对结合经济社会发展新要求提出的新增水利基础设施，确定重点水利基础设施工程布局占地范围，主要包括工程建设场址、水库淹没、骨干输水线路等工程占地范围。 </w:t>
      </w:r>
    </w:p>
    <w:p w14:paraId="0154732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w:t>
      </w:r>
      <w:r>
        <w:rPr>
          <w:rFonts w:hint="eastAsia" w:ascii="宋体" w:hAnsi="宋体" w:eastAsia="宋体" w:cs="宋体"/>
          <w:b w:val="0"/>
          <w:bCs w:val="0"/>
          <w:color w:val="000000"/>
          <w:sz w:val="28"/>
          <w:szCs w:val="28"/>
          <w:lang w:val="en-US" w:eastAsia="zh-CN"/>
        </w:rPr>
        <w:t>1</w:t>
      </w:r>
      <w:r>
        <w:rPr>
          <w:rFonts w:hint="eastAsia" w:ascii="宋体" w:hAnsi="宋体" w:eastAsia="宋体" w:cs="宋体"/>
          <w:b w:val="0"/>
          <w:bCs w:val="0"/>
          <w:color w:val="000000"/>
          <w:sz w:val="28"/>
          <w:szCs w:val="28"/>
        </w:rPr>
        <w:t>）水库</w:t>
      </w:r>
    </w:p>
    <w:p w14:paraId="48E7438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完成泽州县境内小（2）型以上的水库涉水生态空间划定。据统计，全县涉及小（2）型以上的水库共23座，其中中型水库3座，分别为东焦河水库、任庄水库、杜河水库；小（1）型水库11座，分别为拴驴泉水库、白水河水库、围滩水库、长河水库、刘村水库、常坡水库、寺河水库、沙沟水库、圪套水库、来村水库、山耳东水库；小（2）型水库9座，分别为万里水库、庾能水库、上掌水库、谷坨沟水库、西张村水库、蔡河水库、西大阳水库、大南沟水库、彭沟水库。</w:t>
      </w:r>
    </w:p>
    <w:p w14:paraId="045392A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yellow"/>
          <w:lang w:val="en-US" w:eastAsia="zh-CN" w:bidi="ar"/>
        </w:rPr>
      </w:pPr>
      <w:r>
        <w:rPr>
          <w:rFonts w:hint="eastAsia" w:ascii="宋体" w:hAnsi="宋体" w:eastAsia="宋体" w:cs="宋体"/>
          <w:b w:val="0"/>
          <w:bCs w:val="0"/>
          <w:color w:val="000000"/>
          <w:kern w:val="0"/>
          <w:sz w:val="28"/>
          <w:szCs w:val="28"/>
          <w:lang w:val="en-US" w:eastAsia="zh-CN" w:bidi="ar"/>
        </w:rPr>
        <w:t>（2）</w:t>
      </w:r>
      <w:r>
        <w:rPr>
          <w:rFonts w:hint="eastAsia" w:ascii="宋体" w:hAnsi="宋体" w:eastAsia="宋体" w:cs="宋体"/>
          <w:b w:val="0"/>
          <w:bCs w:val="0"/>
          <w:color w:val="000000"/>
          <w:kern w:val="0"/>
          <w:sz w:val="28"/>
          <w:szCs w:val="28"/>
          <w:highlight w:val="none"/>
          <w:lang w:val="en-US" w:eastAsia="zh-CN" w:bidi="ar"/>
        </w:rPr>
        <w:t>淤地坝</w:t>
      </w:r>
    </w:p>
    <w:p w14:paraId="148D9A9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对泽州县现有的淤地坝划入涉水生态空间保护范围，淤地坝主要包括李家山淤地坝、范谷坨淤地坝、贾泉淤地坝、焦元淤地坝。</w:t>
      </w:r>
    </w:p>
    <w:p w14:paraId="17625A1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（3）供水工程</w:t>
      </w:r>
    </w:p>
    <w:p w14:paraId="0C05CEC5">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对泽州县县域内已建、在建及规划的供水骨干工程列入本规划，主要包括泽州县南部水网工程、郭壁供水工程及张峰调水工程。</w:t>
      </w:r>
    </w:p>
    <w:p w14:paraId="27BE0DC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lang w:val="en-US" w:eastAsia="zh-CN" w:bidi="ar"/>
        </w:rPr>
        <w:t>（4）</w:t>
      </w:r>
      <w:r>
        <w:rPr>
          <w:rFonts w:hint="eastAsia" w:ascii="宋体" w:hAnsi="宋体" w:eastAsia="宋体" w:cs="宋体"/>
          <w:b w:val="0"/>
          <w:bCs w:val="0"/>
          <w:color w:val="000000"/>
          <w:kern w:val="0"/>
          <w:sz w:val="28"/>
          <w:szCs w:val="28"/>
          <w:highlight w:val="none"/>
          <w:lang w:val="en-US" w:eastAsia="zh-CN" w:bidi="ar"/>
        </w:rPr>
        <w:t>灌区</w:t>
      </w:r>
    </w:p>
    <w:p w14:paraId="78C322F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highlight w:val="none"/>
          <w:lang w:val="en-US" w:eastAsia="zh-CN" w:bidi="ar"/>
        </w:rPr>
      </w:pPr>
      <w:r>
        <w:rPr>
          <w:rFonts w:hint="eastAsia" w:ascii="宋体" w:hAnsi="宋体" w:eastAsia="宋体" w:cs="宋体"/>
          <w:b w:val="0"/>
          <w:bCs w:val="0"/>
          <w:color w:val="000000"/>
          <w:kern w:val="0"/>
          <w:sz w:val="28"/>
          <w:szCs w:val="28"/>
          <w:highlight w:val="none"/>
          <w:lang w:val="en-US" w:eastAsia="zh-CN" w:bidi="ar"/>
        </w:rPr>
        <w:t>泽州县仅任庄灌区一处中型灌区，本次规划将任庄罐区划入本规划。</w:t>
      </w:r>
    </w:p>
    <w:p w14:paraId="7A585C2A">
      <w:pPr>
        <w:pStyle w:val="5"/>
        <w:rPr>
          <w:rFonts w:hint="default"/>
          <w:lang w:val="en-US"/>
        </w:rPr>
      </w:pPr>
      <w:bookmarkStart w:id="66" w:name="_Toc9246"/>
      <w:r>
        <w:rPr>
          <w:rFonts w:hint="eastAsia"/>
          <w:lang w:val="en-US" w:eastAsia="zh-CN"/>
        </w:rPr>
        <w:t>3.6战略目标与控制指标</w:t>
      </w:r>
      <w:bookmarkEnd w:id="66"/>
    </w:p>
    <w:p w14:paraId="2DE23686">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default" w:ascii="Times New Roman" w:hAnsi="Times New Roman" w:eastAsia="宋体"/>
          <w:lang w:val="en-US" w:eastAsia="zh-CN"/>
        </w:rPr>
      </w:pPr>
      <w:r>
        <w:rPr>
          <w:rFonts w:hint="eastAsia" w:ascii="Times New Roman" w:hAnsi="Times New Roman" w:eastAsia="宋体"/>
          <w:lang w:val="en-US" w:eastAsia="zh-CN"/>
        </w:rPr>
        <w:t>3.6.1主要目标</w:t>
      </w:r>
    </w:p>
    <w:p w14:paraId="38339B33">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hint="eastAsia" w:ascii="Times New Roman" w:hAnsi="Times New Roman"/>
        </w:rPr>
      </w:pPr>
      <w:r>
        <w:rPr>
          <w:rFonts w:hint="eastAsia" w:ascii="Times New Roman" w:hAnsi="Times New Roman"/>
        </w:rPr>
        <w:t>《规划》到2025年，</w:t>
      </w:r>
      <w:r>
        <w:rPr>
          <w:rFonts w:hint="eastAsia" w:ascii="Times New Roman" w:hAnsi="Times New Roman"/>
          <w:lang w:val="en-US" w:eastAsia="zh-CN"/>
        </w:rPr>
        <w:t>泽州县</w:t>
      </w:r>
      <w:r>
        <w:rPr>
          <w:rFonts w:hint="eastAsia" w:ascii="Times New Roman" w:hAnsi="Times New Roman"/>
        </w:rPr>
        <w:t xml:space="preserve">涉水空间管控秩序逐步完善，水利基础设施布局逐步合理，水安全保障能力进一步增强，初步建成与社会主义现代化进程发展相适应的水安全保障体系和水利现代化监管体系。 </w:t>
      </w:r>
    </w:p>
    <w:p w14:paraId="048B78D6">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hint="eastAsia" w:ascii="Times New Roman" w:hAnsi="Times New Roman"/>
        </w:rPr>
      </w:pPr>
      <w:r>
        <w:rPr>
          <w:rFonts w:hint="eastAsia" w:ascii="Times New Roman" w:hAnsi="Times New Roman"/>
        </w:rPr>
        <w:t>规划到2035年，</w:t>
      </w:r>
      <w:r>
        <w:rPr>
          <w:rFonts w:hint="eastAsia" w:ascii="Times New Roman" w:hAnsi="Times New Roman"/>
          <w:lang w:val="en-US" w:eastAsia="zh-CN"/>
        </w:rPr>
        <w:t>泽州县</w:t>
      </w:r>
      <w:r>
        <w:rPr>
          <w:rFonts w:hint="eastAsia" w:ascii="Times New Roman" w:hAnsi="Times New Roman"/>
        </w:rPr>
        <w:t xml:space="preserve">水利基础设施和涉水生态空间管控有序，布局合理，基本建成安全牢固、生态和谐、空间均衡、适度超前的现代化水利基础设施网络体系和系统完备、运行高效、管控有力、智慧融合的现代化水利治理体系和治理能力体系。 </w:t>
      </w:r>
    </w:p>
    <w:p w14:paraId="22478A12">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r>
        <w:rPr>
          <w:rFonts w:hint="eastAsia" w:ascii="Times New Roman" w:hAnsi="Times New Roman"/>
        </w:rPr>
        <w:t>展望到2050年，</w:t>
      </w:r>
      <w:r>
        <w:rPr>
          <w:rFonts w:hint="eastAsia" w:ascii="Times New Roman" w:hAnsi="Times New Roman"/>
          <w:lang w:val="en-US" w:eastAsia="zh-CN"/>
        </w:rPr>
        <w:t>泽州县</w:t>
      </w:r>
      <w:r>
        <w:rPr>
          <w:rFonts w:hint="eastAsia" w:ascii="Times New Roman" w:hAnsi="Times New Roman"/>
        </w:rPr>
        <w:t xml:space="preserve">全面实现水利现代化，水利基础设施和涉水生态空间管控有序，建成安全牢固、生态和谐、空间均衡、适度超前的现代化水利基础设施网络体系和系统完备、运行高效、管控有力、智慧融合的现代化水利治理体系和治理能力体系。 </w:t>
      </w:r>
    </w:p>
    <w:p w14:paraId="42A2D6B0">
      <w:pPr>
        <w:pStyle w:val="6"/>
        <w:keepNext/>
        <w:keepLines/>
        <w:pageBreakBefore w:val="0"/>
        <w:widowControl w:val="0"/>
        <w:kinsoku/>
        <w:wordWrap/>
        <w:overflowPunct/>
        <w:topLinePunct w:val="0"/>
        <w:autoSpaceDE/>
        <w:autoSpaceDN/>
        <w:bidi w:val="0"/>
        <w:adjustRightInd w:val="0"/>
        <w:snapToGrid w:val="0"/>
        <w:spacing w:after="0"/>
        <w:ind w:firstLine="0"/>
        <w:textAlignment w:val="auto"/>
        <w:rPr>
          <w:rFonts w:hint="default" w:ascii="Times New Roman" w:hAnsi="Times New Roman" w:eastAsia="宋体"/>
          <w:lang w:val="en-US" w:eastAsia="zh-CN"/>
        </w:rPr>
      </w:pPr>
      <w:r>
        <w:rPr>
          <w:rFonts w:hint="eastAsia" w:ascii="Times New Roman" w:hAnsi="Times New Roman" w:eastAsia="宋体"/>
          <w:lang w:val="en-US" w:eastAsia="zh-CN"/>
        </w:rPr>
        <w:t>3.6.2控制指标</w:t>
      </w:r>
    </w:p>
    <w:p w14:paraId="7B3A962C">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r>
        <w:rPr>
          <w:rFonts w:hint="eastAsia" w:ascii="Times New Roman" w:hAnsi="Times New Roman"/>
        </w:rPr>
        <w:t xml:space="preserve">根据规划目标，以科学表征涉水空间管控、有效引导和约束国土空间利用保护为出发点，从水资源、水生态、水利基础设施等方面提出规划的控制性指标，并按照国家及省市考核要求提出各水平年目标值，具体见表 3-2。 </w:t>
      </w:r>
    </w:p>
    <w:p w14:paraId="2B7DB54E">
      <w:pPr>
        <w:ind w:left="0" w:leftChars="0" w:firstLine="0" w:firstLineChars="0"/>
        <w:jc w:val="center"/>
        <w:rPr>
          <w:rFonts w:eastAsia="宋体"/>
          <w:b/>
          <w:sz w:val="28"/>
          <w:szCs w:val="28"/>
          <w:highlight w:val="none"/>
        </w:rPr>
      </w:pPr>
      <w:r>
        <w:rPr>
          <w:rFonts w:hint="eastAsia" w:eastAsia="宋体"/>
          <w:b/>
          <w:sz w:val="28"/>
          <w:szCs w:val="28"/>
          <w:highlight w:val="none"/>
        </w:rPr>
        <w:t>水利基础设施空间布局规划控制性指标</w:t>
      </w:r>
    </w:p>
    <w:p w14:paraId="7779B935">
      <w:pPr>
        <w:spacing w:line="240" w:lineRule="auto"/>
        <w:ind w:firstLine="0" w:firstLineChars="0"/>
        <w:rPr>
          <w:rFonts w:hint="eastAsia" w:eastAsia="宋体"/>
          <w:sz w:val="21"/>
          <w:szCs w:val="21"/>
          <w:highlight w:val="none"/>
          <w:lang w:val="en-US" w:eastAsia="zh-CN"/>
        </w:rPr>
      </w:pPr>
      <w:r>
        <w:rPr>
          <w:rFonts w:hint="eastAsia" w:eastAsia="宋体"/>
          <w:sz w:val="21"/>
          <w:szCs w:val="21"/>
          <w:highlight w:val="none"/>
        </w:rPr>
        <w:t>表3</w:t>
      </w:r>
      <w:r>
        <w:rPr>
          <w:rFonts w:hint="eastAsia" w:eastAsia="宋体"/>
          <w:sz w:val="21"/>
          <w:szCs w:val="21"/>
          <w:highlight w:val="none"/>
          <w:lang w:val="en-US" w:eastAsia="zh-CN"/>
        </w:rPr>
        <w:t>-2</w:t>
      </w:r>
    </w:p>
    <w:p w14:paraId="2477B1A3">
      <w:pPr>
        <w:spacing w:line="240" w:lineRule="auto"/>
        <w:ind w:firstLine="0" w:firstLineChars="0"/>
        <w:rPr>
          <w:rFonts w:hint="default" w:eastAsia="宋体"/>
          <w:sz w:val="21"/>
          <w:szCs w:val="21"/>
          <w:highlight w:val="none"/>
          <w:lang w:val="en-US" w:eastAsia="zh-CN"/>
        </w:rPr>
      </w:pPr>
    </w:p>
    <w:tbl>
      <w:tblPr>
        <w:tblStyle w:val="32"/>
        <w:tblW w:w="5000" w:type="pct"/>
        <w:tblInd w:w="0" w:type="dxa"/>
        <w:tblLayout w:type="autofit"/>
        <w:tblCellMar>
          <w:top w:w="0" w:type="dxa"/>
          <w:left w:w="108" w:type="dxa"/>
          <w:bottom w:w="0" w:type="dxa"/>
          <w:right w:w="108" w:type="dxa"/>
        </w:tblCellMar>
      </w:tblPr>
      <w:tblGrid>
        <w:gridCol w:w="1371"/>
        <w:gridCol w:w="4183"/>
        <w:gridCol w:w="1699"/>
        <w:gridCol w:w="1694"/>
      </w:tblGrid>
      <w:tr w14:paraId="77E9AF87">
        <w:tblPrEx>
          <w:tblCellMar>
            <w:top w:w="0" w:type="dxa"/>
            <w:left w:w="108" w:type="dxa"/>
            <w:bottom w:w="0" w:type="dxa"/>
            <w:right w:w="108" w:type="dxa"/>
          </w:tblCellMar>
        </w:tblPrEx>
        <w:trPr>
          <w:trHeight w:val="340" w:hRule="atLeast"/>
          <w:tblHeader/>
        </w:trPr>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DF4AAC">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管控要素</w:t>
            </w:r>
          </w:p>
        </w:tc>
        <w:tc>
          <w:tcPr>
            <w:tcW w:w="2337" w:type="pct"/>
            <w:tcBorders>
              <w:top w:val="single" w:color="auto" w:sz="4" w:space="0"/>
              <w:left w:val="nil"/>
              <w:bottom w:val="single" w:color="auto" w:sz="4" w:space="0"/>
              <w:right w:val="single" w:color="auto" w:sz="4" w:space="0"/>
            </w:tcBorders>
            <w:shd w:val="clear" w:color="auto" w:fill="auto"/>
            <w:noWrap/>
            <w:vAlign w:val="center"/>
          </w:tcPr>
          <w:p w14:paraId="0A244522">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主要指标</w:t>
            </w:r>
          </w:p>
        </w:tc>
        <w:tc>
          <w:tcPr>
            <w:tcW w:w="949" w:type="pct"/>
            <w:tcBorders>
              <w:top w:val="single" w:color="auto" w:sz="4" w:space="0"/>
              <w:left w:val="nil"/>
              <w:bottom w:val="single" w:color="auto" w:sz="4" w:space="0"/>
              <w:right w:val="single" w:color="auto" w:sz="4" w:space="0"/>
            </w:tcBorders>
            <w:shd w:val="clear" w:color="auto" w:fill="auto"/>
            <w:noWrap/>
            <w:vAlign w:val="center"/>
          </w:tcPr>
          <w:p w14:paraId="2616DD9D">
            <w:pPr>
              <w:widowControl/>
              <w:adjustRightInd/>
              <w:snapToGrid/>
              <w:spacing w:line="240" w:lineRule="auto"/>
              <w:ind w:firstLine="0" w:firstLineChars="0"/>
              <w:jc w:val="center"/>
              <w:rPr>
                <w:rFonts w:eastAsia="等线"/>
                <w:kern w:val="0"/>
                <w:sz w:val="22"/>
                <w:szCs w:val="22"/>
                <w:highlight w:val="none"/>
              </w:rPr>
            </w:pPr>
            <w:r>
              <w:rPr>
                <w:rFonts w:eastAsia="等线"/>
                <w:kern w:val="0"/>
                <w:sz w:val="22"/>
                <w:szCs w:val="22"/>
                <w:highlight w:val="none"/>
              </w:rPr>
              <w:t>2025</w:t>
            </w:r>
          </w:p>
        </w:tc>
        <w:tc>
          <w:tcPr>
            <w:tcW w:w="946" w:type="pct"/>
            <w:tcBorders>
              <w:top w:val="single" w:color="auto" w:sz="4" w:space="0"/>
              <w:left w:val="nil"/>
              <w:bottom w:val="single" w:color="auto" w:sz="4" w:space="0"/>
              <w:right w:val="single" w:color="auto" w:sz="4" w:space="0"/>
            </w:tcBorders>
            <w:shd w:val="clear" w:color="auto" w:fill="auto"/>
            <w:noWrap/>
            <w:vAlign w:val="center"/>
          </w:tcPr>
          <w:p w14:paraId="67F84D2D">
            <w:pPr>
              <w:widowControl/>
              <w:adjustRightInd/>
              <w:snapToGrid/>
              <w:spacing w:line="240" w:lineRule="auto"/>
              <w:ind w:firstLine="0" w:firstLineChars="0"/>
              <w:jc w:val="center"/>
              <w:rPr>
                <w:rFonts w:eastAsia="等线"/>
                <w:kern w:val="0"/>
                <w:sz w:val="22"/>
                <w:szCs w:val="22"/>
                <w:highlight w:val="none"/>
              </w:rPr>
            </w:pPr>
            <w:r>
              <w:rPr>
                <w:rFonts w:eastAsia="等线"/>
                <w:kern w:val="0"/>
                <w:sz w:val="22"/>
                <w:szCs w:val="22"/>
                <w:highlight w:val="none"/>
              </w:rPr>
              <w:t>2035</w:t>
            </w:r>
          </w:p>
        </w:tc>
      </w:tr>
      <w:tr w14:paraId="1FA513C9">
        <w:tblPrEx>
          <w:tblCellMar>
            <w:top w:w="0" w:type="dxa"/>
            <w:left w:w="108" w:type="dxa"/>
            <w:bottom w:w="0" w:type="dxa"/>
            <w:right w:w="108" w:type="dxa"/>
          </w:tblCellMar>
        </w:tblPrEx>
        <w:trPr>
          <w:trHeight w:val="340" w:hRule="atLeast"/>
        </w:trPr>
        <w:tc>
          <w:tcPr>
            <w:tcW w:w="766" w:type="pct"/>
            <w:vMerge w:val="restart"/>
            <w:tcBorders>
              <w:top w:val="nil"/>
              <w:left w:val="single" w:color="auto" w:sz="4" w:space="0"/>
              <w:bottom w:val="single" w:color="auto" w:sz="4" w:space="0"/>
              <w:right w:val="single" w:color="auto" w:sz="4" w:space="0"/>
            </w:tcBorders>
            <w:shd w:val="clear" w:color="auto" w:fill="auto"/>
            <w:noWrap/>
            <w:vAlign w:val="center"/>
          </w:tcPr>
          <w:p w14:paraId="1B0C2E39">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水资源</w:t>
            </w:r>
          </w:p>
        </w:tc>
        <w:tc>
          <w:tcPr>
            <w:tcW w:w="2337" w:type="pct"/>
            <w:tcBorders>
              <w:top w:val="nil"/>
              <w:left w:val="nil"/>
              <w:bottom w:val="single" w:color="auto" w:sz="4" w:space="0"/>
              <w:right w:val="single" w:color="auto" w:sz="4" w:space="0"/>
            </w:tcBorders>
            <w:shd w:val="clear" w:color="auto" w:fill="auto"/>
            <w:noWrap/>
            <w:vAlign w:val="center"/>
          </w:tcPr>
          <w:p w14:paraId="1D840F88">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用水总量（亿</w:t>
            </w:r>
            <w:r>
              <w:rPr>
                <w:rFonts w:eastAsia="宋体"/>
                <w:kern w:val="0"/>
                <w:sz w:val="22"/>
                <w:szCs w:val="22"/>
                <w:highlight w:val="none"/>
              </w:rPr>
              <w:t>m</w:t>
            </w:r>
            <w:r>
              <w:rPr>
                <w:rFonts w:eastAsia="宋体"/>
                <w:kern w:val="0"/>
                <w:sz w:val="22"/>
                <w:szCs w:val="22"/>
                <w:highlight w:val="none"/>
                <w:vertAlign w:val="superscript"/>
              </w:rPr>
              <w:t>3</w:t>
            </w:r>
            <w:r>
              <w:rPr>
                <w:rFonts w:hint="eastAsia" w:ascii="宋体" w:hAnsi="宋体" w:eastAsia="宋体" w:cs="宋体"/>
                <w:kern w:val="0"/>
                <w:sz w:val="22"/>
                <w:szCs w:val="22"/>
                <w:highlight w:val="none"/>
              </w:rPr>
              <w:t>）</w:t>
            </w:r>
          </w:p>
        </w:tc>
        <w:tc>
          <w:tcPr>
            <w:tcW w:w="949" w:type="pct"/>
            <w:tcBorders>
              <w:top w:val="nil"/>
              <w:left w:val="nil"/>
              <w:bottom w:val="single" w:color="auto" w:sz="4" w:space="0"/>
              <w:right w:val="single" w:color="auto" w:sz="4" w:space="0"/>
            </w:tcBorders>
            <w:shd w:val="clear" w:color="auto" w:fill="auto"/>
            <w:noWrap/>
            <w:vAlign w:val="center"/>
          </w:tcPr>
          <w:p w14:paraId="72E639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sz w:val="13"/>
                <w:szCs w:val="13"/>
              </w:rPr>
            </w:pPr>
            <w:r>
              <w:rPr>
                <w:rFonts w:hint="eastAsia" w:ascii="Times New Roman" w:hAnsi="Times New Roman" w:eastAsia="宋体" w:cs="Times New Roman"/>
                <w:spacing w:val="-2"/>
                <w:sz w:val="20"/>
                <w:szCs w:val="20"/>
                <w:lang w:val="en-US" w:eastAsia="zh-CN"/>
              </w:rPr>
              <w:t>1.</w:t>
            </w:r>
            <w:r>
              <w:rPr>
                <w:rFonts w:hint="eastAsia" w:ascii="Times New Roman" w:hAnsi="Times New Roman" w:cs="Times New Roman"/>
                <w:spacing w:val="-2"/>
                <w:sz w:val="20"/>
                <w:szCs w:val="20"/>
                <w:lang w:val="en-US" w:eastAsia="zh-CN"/>
              </w:rPr>
              <w:t>1447</w:t>
            </w:r>
            <w:r>
              <w:rPr>
                <w:rFonts w:ascii="仿宋" w:hAnsi="仿宋" w:eastAsia="仿宋" w:cs="仿宋"/>
                <w:spacing w:val="-1"/>
                <w:sz w:val="20"/>
                <w:szCs w:val="20"/>
              </w:rPr>
              <w:t>亿</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p>
          <w:p w14:paraId="145D50E1">
            <w:pPr>
              <w:widowControl/>
              <w:adjustRightInd/>
              <w:snapToGrid/>
              <w:spacing w:line="240" w:lineRule="auto"/>
              <w:ind w:firstLine="0" w:firstLineChars="0"/>
              <w:jc w:val="center"/>
              <w:rPr>
                <w:rFonts w:hint="default" w:eastAsia="等线"/>
                <w:kern w:val="0"/>
                <w:sz w:val="22"/>
                <w:szCs w:val="22"/>
                <w:highlight w:val="none"/>
                <w:lang w:val="en-US" w:eastAsia="zh-CN"/>
              </w:rPr>
            </w:pPr>
            <w:r>
              <w:rPr>
                <w:rFonts w:ascii="仿宋" w:hAnsi="仿宋" w:eastAsia="仿宋" w:cs="仿宋"/>
                <w:spacing w:val="20"/>
                <w:sz w:val="20"/>
                <w:szCs w:val="20"/>
              </w:rPr>
              <w:t>(</w:t>
            </w:r>
            <w:r>
              <w:rPr>
                <w:rFonts w:ascii="Times New Roman" w:hAnsi="Times New Roman" w:eastAsia="Times New Roman" w:cs="Times New Roman"/>
                <w:spacing w:val="17"/>
                <w:sz w:val="20"/>
                <w:szCs w:val="20"/>
              </w:rPr>
              <w:t>2025</w:t>
            </w:r>
            <w:r>
              <w:rPr>
                <w:rFonts w:ascii="仿宋" w:hAnsi="仿宋" w:eastAsia="仿宋" w:cs="仿宋"/>
                <w:spacing w:val="17"/>
                <w:sz w:val="20"/>
                <w:szCs w:val="20"/>
              </w:rPr>
              <w:t>年</w:t>
            </w:r>
            <w:r>
              <w:rPr>
                <w:rFonts w:ascii="仿宋" w:hAnsi="仿宋" w:eastAsia="仿宋" w:cs="仿宋"/>
                <w:spacing w:val="1"/>
                <w:sz w:val="20"/>
                <w:szCs w:val="20"/>
              </w:rPr>
              <w:t>红线)</w:t>
            </w:r>
          </w:p>
        </w:tc>
        <w:tc>
          <w:tcPr>
            <w:tcW w:w="946" w:type="pct"/>
            <w:tcBorders>
              <w:top w:val="nil"/>
              <w:left w:val="nil"/>
              <w:bottom w:val="single" w:color="auto" w:sz="4" w:space="0"/>
              <w:right w:val="single" w:color="auto" w:sz="4" w:space="0"/>
            </w:tcBorders>
            <w:shd w:val="clear" w:color="auto" w:fill="auto"/>
            <w:noWrap/>
            <w:vAlign w:val="center"/>
          </w:tcPr>
          <w:p w14:paraId="59DBD4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ascii="Times New Roman" w:hAnsi="Times New Roman" w:eastAsia="Times New Roman" w:cs="Times New Roman"/>
                <w:sz w:val="13"/>
                <w:szCs w:val="13"/>
              </w:rPr>
            </w:pPr>
            <w:r>
              <w:rPr>
                <w:rFonts w:hint="eastAsia" w:ascii="Times New Roman" w:hAnsi="Times New Roman" w:cs="Times New Roman"/>
                <w:spacing w:val="-2"/>
                <w:sz w:val="20"/>
                <w:szCs w:val="20"/>
                <w:lang w:val="en-US" w:eastAsia="zh-CN"/>
              </w:rPr>
              <w:t>1.3970</w:t>
            </w:r>
            <w:r>
              <w:rPr>
                <w:rFonts w:ascii="仿宋" w:hAnsi="仿宋" w:eastAsia="仿宋" w:cs="仿宋"/>
                <w:spacing w:val="-2"/>
                <w:sz w:val="20"/>
                <w:szCs w:val="20"/>
              </w:rPr>
              <w:t>亿</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p>
          <w:p w14:paraId="53484BD8">
            <w:pPr>
              <w:widowControl/>
              <w:adjustRightInd/>
              <w:snapToGrid/>
              <w:spacing w:line="240" w:lineRule="auto"/>
              <w:ind w:firstLine="0" w:firstLineChars="0"/>
              <w:jc w:val="center"/>
              <w:rPr>
                <w:rFonts w:hint="default" w:ascii="Times New Roman" w:hAnsi="Times New Roman" w:eastAsia="等线" w:cs="Times New Roman"/>
                <w:kern w:val="0"/>
                <w:sz w:val="22"/>
                <w:szCs w:val="22"/>
                <w:highlight w:val="none"/>
                <w:lang w:val="en-US" w:eastAsia="zh-CN"/>
              </w:rPr>
            </w:pPr>
            <w:r>
              <w:rPr>
                <w:rFonts w:ascii="仿宋" w:hAnsi="仿宋" w:eastAsia="仿宋" w:cs="仿宋"/>
                <w:spacing w:val="20"/>
                <w:sz w:val="20"/>
                <w:szCs w:val="20"/>
              </w:rPr>
              <w:t>(</w:t>
            </w:r>
            <w:r>
              <w:rPr>
                <w:rFonts w:ascii="Times New Roman" w:hAnsi="Times New Roman" w:eastAsia="Times New Roman" w:cs="Times New Roman"/>
                <w:spacing w:val="17"/>
                <w:sz w:val="20"/>
                <w:szCs w:val="20"/>
              </w:rPr>
              <w:t>2030</w:t>
            </w:r>
            <w:r>
              <w:rPr>
                <w:rFonts w:ascii="仿宋" w:hAnsi="仿宋" w:eastAsia="仿宋" w:cs="仿宋"/>
                <w:spacing w:val="17"/>
                <w:sz w:val="20"/>
                <w:szCs w:val="20"/>
              </w:rPr>
              <w:t>年</w:t>
            </w:r>
            <w:r>
              <w:rPr>
                <w:rFonts w:ascii="仿宋" w:hAnsi="仿宋" w:eastAsia="仿宋" w:cs="仿宋"/>
                <w:spacing w:val="1"/>
                <w:sz w:val="20"/>
                <w:szCs w:val="20"/>
              </w:rPr>
              <w:t>红线)</w:t>
            </w:r>
          </w:p>
        </w:tc>
      </w:tr>
      <w:tr w14:paraId="18E68AD5">
        <w:tblPrEx>
          <w:tblCellMar>
            <w:top w:w="0" w:type="dxa"/>
            <w:left w:w="108" w:type="dxa"/>
            <w:bottom w:w="0" w:type="dxa"/>
            <w:right w:w="108" w:type="dxa"/>
          </w:tblCellMar>
        </w:tblPrEx>
        <w:trPr>
          <w:trHeight w:val="340" w:hRule="atLeast"/>
        </w:trPr>
        <w:tc>
          <w:tcPr>
            <w:tcW w:w="766" w:type="pct"/>
            <w:vMerge w:val="continue"/>
            <w:tcBorders>
              <w:top w:val="nil"/>
              <w:left w:val="single" w:color="auto" w:sz="4" w:space="0"/>
              <w:bottom w:val="single" w:color="auto" w:sz="4" w:space="0"/>
              <w:right w:val="single" w:color="auto" w:sz="4" w:space="0"/>
            </w:tcBorders>
            <w:vAlign w:val="center"/>
          </w:tcPr>
          <w:p w14:paraId="338A4B4C">
            <w:pPr>
              <w:widowControl/>
              <w:adjustRightInd/>
              <w:snapToGrid/>
              <w:spacing w:line="240" w:lineRule="auto"/>
              <w:ind w:firstLine="0" w:firstLineChars="0"/>
              <w:jc w:val="left"/>
              <w:rPr>
                <w:rFonts w:ascii="宋体" w:hAnsi="宋体" w:eastAsia="宋体" w:cs="宋体"/>
                <w:kern w:val="0"/>
                <w:sz w:val="22"/>
                <w:szCs w:val="22"/>
                <w:highlight w:val="none"/>
              </w:rPr>
            </w:pPr>
          </w:p>
        </w:tc>
        <w:tc>
          <w:tcPr>
            <w:tcW w:w="2337" w:type="pct"/>
            <w:tcBorders>
              <w:top w:val="nil"/>
              <w:left w:val="nil"/>
              <w:bottom w:val="single" w:color="auto" w:sz="4" w:space="0"/>
              <w:right w:val="single" w:color="auto" w:sz="4" w:space="0"/>
            </w:tcBorders>
            <w:shd w:val="clear" w:color="auto" w:fill="auto"/>
            <w:noWrap/>
            <w:vAlign w:val="center"/>
          </w:tcPr>
          <w:p w14:paraId="16BD5F46">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人均年用水量（</w:t>
            </w:r>
            <w:r>
              <w:rPr>
                <w:rFonts w:eastAsia="宋体"/>
                <w:kern w:val="0"/>
                <w:sz w:val="22"/>
                <w:szCs w:val="22"/>
                <w:highlight w:val="none"/>
              </w:rPr>
              <w:t>m</w:t>
            </w:r>
            <w:r>
              <w:rPr>
                <w:rFonts w:eastAsia="宋体"/>
                <w:kern w:val="0"/>
                <w:sz w:val="22"/>
                <w:szCs w:val="22"/>
                <w:highlight w:val="none"/>
                <w:vertAlign w:val="superscript"/>
              </w:rPr>
              <w:t>3</w:t>
            </w:r>
            <w:r>
              <w:rPr>
                <w:rFonts w:hint="eastAsia" w:ascii="宋体" w:hAnsi="宋体" w:eastAsia="宋体" w:cs="宋体"/>
                <w:kern w:val="0"/>
                <w:sz w:val="22"/>
                <w:szCs w:val="22"/>
                <w:highlight w:val="none"/>
              </w:rPr>
              <w:t>）</w:t>
            </w:r>
          </w:p>
        </w:tc>
        <w:tc>
          <w:tcPr>
            <w:tcW w:w="949" w:type="pct"/>
            <w:tcBorders>
              <w:top w:val="nil"/>
              <w:left w:val="nil"/>
              <w:bottom w:val="single" w:color="auto" w:sz="4" w:space="0"/>
              <w:right w:val="single" w:color="auto" w:sz="4" w:space="0"/>
            </w:tcBorders>
            <w:shd w:val="clear" w:color="auto" w:fill="auto"/>
            <w:noWrap/>
            <w:vAlign w:val="center"/>
          </w:tcPr>
          <w:p w14:paraId="3D0F82FA">
            <w:pPr>
              <w:widowControl/>
              <w:adjustRightInd/>
              <w:snapToGrid/>
              <w:spacing w:line="240" w:lineRule="auto"/>
              <w:ind w:firstLine="0" w:firstLineChars="0"/>
              <w:jc w:val="center"/>
              <w:rPr>
                <w:rFonts w:hint="default" w:eastAsia="等线"/>
                <w:kern w:val="0"/>
                <w:sz w:val="22"/>
                <w:szCs w:val="22"/>
                <w:highlight w:val="none"/>
                <w:lang w:eastAsia="zh-CN"/>
              </w:rPr>
            </w:pPr>
            <w:r>
              <w:rPr>
                <w:rFonts w:hint="default" w:eastAsia="等线"/>
                <w:kern w:val="0"/>
                <w:sz w:val="22"/>
                <w:szCs w:val="22"/>
                <w:highlight w:val="none"/>
                <w:lang w:eastAsia="zh-CN"/>
              </w:rPr>
              <w:t>276</w:t>
            </w:r>
          </w:p>
        </w:tc>
        <w:tc>
          <w:tcPr>
            <w:tcW w:w="946" w:type="pct"/>
            <w:tcBorders>
              <w:top w:val="nil"/>
              <w:left w:val="nil"/>
              <w:bottom w:val="single" w:color="auto" w:sz="4" w:space="0"/>
              <w:right w:val="single" w:color="auto" w:sz="4" w:space="0"/>
            </w:tcBorders>
            <w:shd w:val="clear" w:color="auto" w:fill="auto"/>
            <w:noWrap/>
            <w:vAlign w:val="center"/>
          </w:tcPr>
          <w:p w14:paraId="095320C7">
            <w:pPr>
              <w:widowControl/>
              <w:adjustRightInd/>
              <w:snapToGrid/>
              <w:spacing w:line="240" w:lineRule="auto"/>
              <w:ind w:firstLine="0" w:firstLineChars="0"/>
              <w:jc w:val="center"/>
              <w:rPr>
                <w:rFonts w:hint="default" w:ascii="Times New Roman" w:hAnsi="Times New Roman" w:eastAsia="等线" w:cs="Times New Roman"/>
                <w:kern w:val="0"/>
                <w:sz w:val="22"/>
                <w:szCs w:val="22"/>
                <w:highlight w:val="none"/>
                <w:lang w:eastAsia="zh-CN"/>
              </w:rPr>
            </w:pPr>
            <w:r>
              <w:rPr>
                <w:rFonts w:hint="default" w:eastAsia="等线" w:cs="Times New Roman"/>
                <w:kern w:val="0"/>
                <w:sz w:val="22"/>
                <w:szCs w:val="22"/>
                <w:highlight w:val="none"/>
                <w:lang w:eastAsia="zh-CN"/>
              </w:rPr>
              <w:t>268</w:t>
            </w:r>
          </w:p>
        </w:tc>
      </w:tr>
      <w:tr w14:paraId="020B71B3">
        <w:tblPrEx>
          <w:tblCellMar>
            <w:top w:w="0" w:type="dxa"/>
            <w:left w:w="108" w:type="dxa"/>
            <w:bottom w:w="0" w:type="dxa"/>
            <w:right w:w="108" w:type="dxa"/>
          </w:tblCellMar>
        </w:tblPrEx>
        <w:trPr>
          <w:trHeight w:val="340" w:hRule="atLeast"/>
        </w:trPr>
        <w:tc>
          <w:tcPr>
            <w:tcW w:w="766" w:type="pct"/>
            <w:vMerge w:val="continue"/>
            <w:tcBorders>
              <w:top w:val="nil"/>
              <w:left w:val="single" w:color="auto" w:sz="4" w:space="0"/>
              <w:bottom w:val="single" w:color="auto" w:sz="4" w:space="0"/>
              <w:right w:val="single" w:color="auto" w:sz="4" w:space="0"/>
            </w:tcBorders>
            <w:vAlign w:val="center"/>
          </w:tcPr>
          <w:p w14:paraId="329CDCFC">
            <w:pPr>
              <w:widowControl/>
              <w:adjustRightInd/>
              <w:snapToGrid/>
              <w:spacing w:line="240" w:lineRule="auto"/>
              <w:ind w:firstLine="0" w:firstLineChars="0"/>
              <w:jc w:val="left"/>
              <w:rPr>
                <w:rFonts w:ascii="宋体" w:hAnsi="宋体" w:eastAsia="宋体" w:cs="宋体"/>
                <w:kern w:val="0"/>
                <w:sz w:val="22"/>
                <w:szCs w:val="22"/>
                <w:highlight w:val="none"/>
              </w:rPr>
            </w:pPr>
          </w:p>
        </w:tc>
        <w:tc>
          <w:tcPr>
            <w:tcW w:w="2337" w:type="pct"/>
            <w:tcBorders>
              <w:top w:val="nil"/>
              <w:left w:val="nil"/>
              <w:bottom w:val="single" w:color="auto" w:sz="4" w:space="0"/>
              <w:right w:val="single" w:color="auto" w:sz="4" w:space="0"/>
            </w:tcBorders>
            <w:shd w:val="clear" w:color="auto" w:fill="auto"/>
            <w:noWrap/>
            <w:vAlign w:val="center"/>
          </w:tcPr>
          <w:p w14:paraId="46F554D9">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饮用水水源地水质达标率（</w:t>
            </w:r>
            <w:r>
              <w:rPr>
                <w:rFonts w:eastAsia="宋体"/>
                <w:kern w:val="0"/>
                <w:sz w:val="22"/>
                <w:szCs w:val="22"/>
                <w:highlight w:val="none"/>
              </w:rPr>
              <w:t>%</w:t>
            </w:r>
            <w:r>
              <w:rPr>
                <w:rFonts w:hint="eastAsia" w:ascii="宋体" w:hAnsi="宋体" w:eastAsia="宋体" w:cs="宋体"/>
                <w:kern w:val="0"/>
                <w:sz w:val="22"/>
                <w:szCs w:val="22"/>
                <w:highlight w:val="none"/>
              </w:rPr>
              <w:t>）</w:t>
            </w:r>
          </w:p>
        </w:tc>
        <w:tc>
          <w:tcPr>
            <w:tcW w:w="949" w:type="pct"/>
            <w:tcBorders>
              <w:top w:val="nil"/>
              <w:left w:val="nil"/>
              <w:bottom w:val="single" w:color="auto" w:sz="4" w:space="0"/>
              <w:right w:val="single" w:color="auto" w:sz="4" w:space="0"/>
            </w:tcBorders>
            <w:shd w:val="clear" w:color="auto" w:fill="auto"/>
            <w:noWrap/>
            <w:vAlign w:val="center"/>
          </w:tcPr>
          <w:p w14:paraId="2FE3EB91">
            <w:pPr>
              <w:widowControl/>
              <w:adjustRightInd/>
              <w:snapToGrid/>
              <w:spacing w:line="240" w:lineRule="auto"/>
              <w:ind w:firstLine="0" w:firstLineChars="0"/>
              <w:jc w:val="center"/>
              <w:rPr>
                <w:rFonts w:hint="default" w:eastAsia="等线"/>
                <w:kern w:val="0"/>
                <w:sz w:val="22"/>
                <w:szCs w:val="22"/>
                <w:highlight w:val="none"/>
                <w:lang w:val="en-US" w:eastAsia="zh-CN"/>
              </w:rPr>
            </w:pPr>
            <w:r>
              <w:rPr>
                <w:rFonts w:hint="eastAsia" w:eastAsia="等线"/>
                <w:kern w:val="0"/>
                <w:sz w:val="22"/>
                <w:szCs w:val="22"/>
                <w:highlight w:val="none"/>
                <w:lang w:val="en-US" w:eastAsia="zh-CN"/>
              </w:rPr>
              <w:t>100</w:t>
            </w:r>
          </w:p>
        </w:tc>
        <w:tc>
          <w:tcPr>
            <w:tcW w:w="946" w:type="pct"/>
            <w:tcBorders>
              <w:top w:val="nil"/>
              <w:left w:val="nil"/>
              <w:bottom w:val="single" w:color="auto" w:sz="4" w:space="0"/>
              <w:right w:val="single" w:color="auto" w:sz="4" w:space="0"/>
            </w:tcBorders>
            <w:shd w:val="clear" w:color="auto" w:fill="auto"/>
            <w:noWrap/>
            <w:vAlign w:val="center"/>
          </w:tcPr>
          <w:p w14:paraId="7EC6598B">
            <w:pPr>
              <w:widowControl/>
              <w:adjustRightInd/>
              <w:snapToGrid/>
              <w:spacing w:line="240" w:lineRule="auto"/>
              <w:ind w:firstLine="0" w:firstLineChars="0"/>
              <w:jc w:val="center"/>
              <w:rPr>
                <w:rFonts w:hint="default" w:ascii="Times New Roman" w:hAnsi="Times New Roman" w:eastAsia="等线" w:cs="Times New Roman"/>
                <w:kern w:val="0"/>
                <w:sz w:val="22"/>
                <w:szCs w:val="22"/>
                <w:highlight w:val="none"/>
                <w:lang w:eastAsia="zh-CN"/>
              </w:rPr>
            </w:pPr>
            <w:r>
              <w:rPr>
                <w:rFonts w:hint="default" w:eastAsia="等线" w:cs="Times New Roman"/>
                <w:kern w:val="0"/>
                <w:sz w:val="22"/>
                <w:szCs w:val="22"/>
                <w:highlight w:val="none"/>
                <w:lang w:eastAsia="zh-CN"/>
              </w:rPr>
              <w:t>100</w:t>
            </w:r>
          </w:p>
        </w:tc>
      </w:tr>
      <w:tr w14:paraId="3FB542E5">
        <w:tblPrEx>
          <w:tblCellMar>
            <w:top w:w="0" w:type="dxa"/>
            <w:left w:w="108" w:type="dxa"/>
            <w:bottom w:w="0" w:type="dxa"/>
            <w:right w:w="108" w:type="dxa"/>
          </w:tblCellMar>
        </w:tblPrEx>
        <w:trPr>
          <w:trHeight w:val="340" w:hRule="atLeast"/>
        </w:trPr>
        <w:tc>
          <w:tcPr>
            <w:tcW w:w="766" w:type="pct"/>
            <w:vMerge w:val="restart"/>
            <w:tcBorders>
              <w:top w:val="nil"/>
              <w:left w:val="single" w:color="auto" w:sz="4" w:space="0"/>
              <w:bottom w:val="single" w:color="auto" w:sz="4" w:space="0"/>
              <w:right w:val="single" w:color="auto" w:sz="4" w:space="0"/>
            </w:tcBorders>
            <w:shd w:val="clear" w:color="auto" w:fill="auto"/>
            <w:noWrap/>
            <w:vAlign w:val="center"/>
          </w:tcPr>
          <w:p w14:paraId="7F1F2446">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水生态</w:t>
            </w:r>
          </w:p>
        </w:tc>
        <w:tc>
          <w:tcPr>
            <w:tcW w:w="2337" w:type="pct"/>
            <w:tcBorders>
              <w:top w:val="nil"/>
              <w:left w:val="nil"/>
              <w:bottom w:val="single" w:color="auto" w:sz="4" w:space="0"/>
              <w:right w:val="single" w:color="auto" w:sz="4" w:space="0"/>
            </w:tcBorders>
            <w:shd w:val="clear" w:color="auto" w:fill="auto"/>
            <w:noWrap/>
            <w:vAlign w:val="center"/>
          </w:tcPr>
          <w:p w14:paraId="59B68875">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综合治理水土流失面积（</w:t>
            </w:r>
            <w:r>
              <w:rPr>
                <w:rFonts w:eastAsia="宋体"/>
                <w:kern w:val="0"/>
                <w:sz w:val="22"/>
                <w:szCs w:val="22"/>
                <w:highlight w:val="none"/>
              </w:rPr>
              <w:t>km</w:t>
            </w:r>
            <w:r>
              <w:rPr>
                <w:rFonts w:eastAsia="宋体"/>
                <w:kern w:val="0"/>
                <w:sz w:val="22"/>
                <w:szCs w:val="22"/>
                <w:highlight w:val="none"/>
                <w:vertAlign w:val="superscript"/>
              </w:rPr>
              <w:t>2</w:t>
            </w:r>
            <w:r>
              <w:rPr>
                <w:rFonts w:hint="eastAsia" w:ascii="宋体" w:hAnsi="宋体" w:eastAsia="宋体" w:cs="宋体"/>
                <w:kern w:val="0"/>
                <w:sz w:val="22"/>
                <w:szCs w:val="22"/>
                <w:highlight w:val="none"/>
              </w:rPr>
              <w:t>）</w:t>
            </w:r>
          </w:p>
        </w:tc>
        <w:tc>
          <w:tcPr>
            <w:tcW w:w="949" w:type="pct"/>
            <w:tcBorders>
              <w:top w:val="nil"/>
              <w:left w:val="nil"/>
              <w:bottom w:val="single" w:color="auto" w:sz="4" w:space="0"/>
              <w:right w:val="single" w:color="auto" w:sz="4" w:space="0"/>
            </w:tcBorders>
            <w:shd w:val="clear" w:color="auto" w:fill="auto"/>
            <w:noWrap/>
            <w:vAlign w:val="center"/>
          </w:tcPr>
          <w:p w14:paraId="19548FC9">
            <w:pPr>
              <w:widowControl/>
              <w:adjustRightInd/>
              <w:snapToGrid/>
              <w:spacing w:line="240" w:lineRule="auto"/>
              <w:ind w:firstLine="0" w:firstLineChars="0"/>
              <w:jc w:val="center"/>
              <w:rPr>
                <w:rFonts w:hint="default" w:eastAsia="等线"/>
                <w:kern w:val="0"/>
                <w:sz w:val="22"/>
                <w:szCs w:val="22"/>
                <w:highlight w:val="none"/>
                <w:lang w:val="en-US" w:eastAsia="zh-CN"/>
              </w:rPr>
            </w:pPr>
            <w:r>
              <w:rPr>
                <w:rFonts w:hint="eastAsia" w:eastAsia="等线"/>
                <w:kern w:val="0"/>
                <w:sz w:val="22"/>
                <w:szCs w:val="22"/>
                <w:highlight w:val="none"/>
                <w:lang w:val="en-US" w:eastAsia="zh-CN"/>
              </w:rPr>
              <w:t>13.2</w:t>
            </w:r>
          </w:p>
        </w:tc>
        <w:tc>
          <w:tcPr>
            <w:tcW w:w="946" w:type="pct"/>
            <w:tcBorders>
              <w:top w:val="nil"/>
              <w:left w:val="nil"/>
              <w:bottom w:val="single" w:color="auto" w:sz="4" w:space="0"/>
              <w:right w:val="single" w:color="auto" w:sz="4" w:space="0"/>
            </w:tcBorders>
            <w:shd w:val="clear" w:color="auto" w:fill="auto"/>
            <w:noWrap/>
            <w:vAlign w:val="center"/>
          </w:tcPr>
          <w:p w14:paraId="361432C2">
            <w:pPr>
              <w:widowControl/>
              <w:adjustRightInd/>
              <w:snapToGrid/>
              <w:spacing w:line="240" w:lineRule="auto"/>
              <w:ind w:firstLine="0" w:firstLineChars="0"/>
              <w:jc w:val="center"/>
              <w:rPr>
                <w:rFonts w:hint="default" w:ascii="Times New Roman" w:hAnsi="Times New Roman" w:eastAsia="等线" w:cs="Times New Roman"/>
                <w:kern w:val="0"/>
                <w:sz w:val="22"/>
                <w:szCs w:val="22"/>
                <w:highlight w:val="none"/>
                <w:lang w:val="en-US" w:eastAsia="zh-CN"/>
              </w:rPr>
            </w:pPr>
            <w:r>
              <w:rPr>
                <w:rFonts w:hint="eastAsia" w:eastAsia="等线" w:cs="Times New Roman"/>
                <w:kern w:val="0"/>
                <w:sz w:val="22"/>
                <w:szCs w:val="22"/>
                <w:highlight w:val="none"/>
                <w:lang w:val="en-US" w:eastAsia="zh-CN"/>
              </w:rPr>
              <w:t>181</w:t>
            </w:r>
          </w:p>
        </w:tc>
      </w:tr>
      <w:tr w14:paraId="030543B7">
        <w:tblPrEx>
          <w:tblCellMar>
            <w:top w:w="0" w:type="dxa"/>
            <w:left w:w="108" w:type="dxa"/>
            <w:bottom w:w="0" w:type="dxa"/>
            <w:right w:w="108" w:type="dxa"/>
          </w:tblCellMar>
        </w:tblPrEx>
        <w:trPr>
          <w:trHeight w:val="340" w:hRule="atLeast"/>
        </w:trPr>
        <w:tc>
          <w:tcPr>
            <w:tcW w:w="766" w:type="pct"/>
            <w:vMerge w:val="continue"/>
            <w:tcBorders>
              <w:top w:val="nil"/>
              <w:left w:val="single" w:color="auto" w:sz="4" w:space="0"/>
              <w:bottom w:val="single" w:color="auto" w:sz="4" w:space="0"/>
              <w:right w:val="single" w:color="auto" w:sz="4" w:space="0"/>
            </w:tcBorders>
            <w:vAlign w:val="center"/>
          </w:tcPr>
          <w:p w14:paraId="2DF5760E">
            <w:pPr>
              <w:widowControl/>
              <w:adjustRightInd/>
              <w:snapToGrid/>
              <w:spacing w:line="240" w:lineRule="auto"/>
              <w:ind w:firstLine="0" w:firstLineChars="0"/>
              <w:jc w:val="left"/>
              <w:rPr>
                <w:rFonts w:ascii="宋体" w:hAnsi="宋体" w:eastAsia="宋体" w:cs="宋体"/>
                <w:kern w:val="0"/>
                <w:sz w:val="22"/>
                <w:szCs w:val="22"/>
                <w:highlight w:val="none"/>
              </w:rPr>
            </w:pPr>
          </w:p>
        </w:tc>
        <w:tc>
          <w:tcPr>
            <w:tcW w:w="2337" w:type="pct"/>
            <w:tcBorders>
              <w:top w:val="nil"/>
              <w:left w:val="nil"/>
              <w:bottom w:val="single" w:color="auto" w:sz="4" w:space="0"/>
              <w:right w:val="single" w:color="auto" w:sz="4" w:space="0"/>
            </w:tcBorders>
            <w:shd w:val="clear" w:color="auto" w:fill="auto"/>
            <w:noWrap/>
            <w:vAlign w:val="center"/>
          </w:tcPr>
          <w:p w14:paraId="25A2EC0B">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河湖重要断面生态流量满足程度（</w:t>
            </w:r>
            <w:r>
              <w:rPr>
                <w:rFonts w:eastAsia="宋体"/>
                <w:kern w:val="0"/>
                <w:sz w:val="22"/>
                <w:szCs w:val="22"/>
                <w:highlight w:val="none"/>
              </w:rPr>
              <w:t>%</w:t>
            </w:r>
            <w:r>
              <w:rPr>
                <w:rFonts w:hint="eastAsia" w:ascii="宋体" w:hAnsi="宋体" w:eastAsia="宋体" w:cs="宋体"/>
                <w:kern w:val="0"/>
                <w:sz w:val="22"/>
                <w:szCs w:val="22"/>
                <w:highlight w:val="none"/>
              </w:rPr>
              <w:t>）</w:t>
            </w:r>
          </w:p>
        </w:tc>
        <w:tc>
          <w:tcPr>
            <w:tcW w:w="949" w:type="pct"/>
            <w:tcBorders>
              <w:top w:val="nil"/>
              <w:left w:val="nil"/>
              <w:bottom w:val="single" w:color="auto" w:sz="4" w:space="0"/>
              <w:right w:val="single" w:color="auto" w:sz="4" w:space="0"/>
            </w:tcBorders>
            <w:shd w:val="clear" w:color="auto" w:fill="auto"/>
            <w:noWrap/>
            <w:vAlign w:val="center"/>
          </w:tcPr>
          <w:p w14:paraId="6691B3A8">
            <w:pPr>
              <w:widowControl/>
              <w:adjustRightInd/>
              <w:snapToGrid/>
              <w:spacing w:line="240" w:lineRule="auto"/>
              <w:ind w:firstLine="0" w:firstLineChars="0"/>
              <w:jc w:val="center"/>
              <w:rPr>
                <w:rFonts w:eastAsia="等线"/>
                <w:kern w:val="0"/>
                <w:sz w:val="22"/>
                <w:szCs w:val="22"/>
                <w:highlight w:val="none"/>
              </w:rPr>
            </w:pPr>
            <w:r>
              <w:rPr>
                <w:rFonts w:eastAsia="等线"/>
                <w:kern w:val="0"/>
                <w:sz w:val="22"/>
                <w:szCs w:val="22"/>
                <w:highlight w:val="none"/>
              </w:rPr>
              <w:t>90</w:t>
            </w:r>
          </w:p>
        </w:tc>
        <w:tc>
          <w:tcPr>
            <w:tcW w:w="946" w:type="pct"/>
            <w:tcBorders>
              <w:top w:val="nil"/>
              <w:left w:val="nil"/>
              <w:bottom w:val="single" w:color="auto" w:sz="4" w:space="0"/>
              <w:right w:val="single" w:color="auto" w:sz="4" w:space="0"/>
            </w:tcBorders>
            <w:shd w:val="clear" w:color="auto" w:fill="auto"/>
            <w:noWrap/>
            <w:vAlign w:val="center"/>
          </w:tcPr>
          <w:p w14:paraId="0BEC3688">
            <w:pPr>
              <w:widowControl/>
              <w:adjustRightInd/>
              <w:snapToGrid/>
              <w:spacing w:line="240" w:lineRule="auto"/>
              <w:ind w:firstLine="0" w:firstLineChars="0"/>
              <w:jc w:val="center"/>
              <w:rPr>
                <w:rFonts w:hint="default" w:ascii="Times New Roman" w:hAnsi="Times New Roman" w:eastAsia="等线" w:cs="Times New Roman"/>
                <w:kern w:val="0"/>
                <w:sz w:val="22"/>
                <w:szCs w:val="22"/>
                <w:highlight w:val="none"/>
                <w:lang w:val="en-US" w:eastAsia="zh-CN"/>
              </w:rPr>
            </w:pPr>
            <w:r>
              <w:rPr>
                <w:rFonts w:hint="eastAsia" w:eastAsia="等线" w:cs="Times New Roman"/>
                <w:kern w:val="0"/>
                <w:sz w:val="22"/>
                <w:szCs w:val="22"/>
                <w:highlight w:val="none"/>
                <w:lang w:val="en-US" w:eastAsia="zh-CN"/>
              </w:rPr>
              <w:t>100</w:t>
            </w:r>
          </w:p>
        </w:tc>
      </w:tr>
      <w:tr w14:paraId="1C9DB0D8">
        <w:tblPrEx>
          <w:tblCellMar>
            <w:top w:w="0" w:type="dxa"/>
            <w:left w:w="108" w:type="dxa"/>
            <w:bottom w:w="0" w:type="dxa"/>
            <w:right w:w="108" w:type="dxa"/>
          </w:tblCellMar>
        </w:tblPrEx>
        <w:trPr>
          <w:trHeight w:val="340" w:hRule="atLeast"/>
        </w:trPr>
        <w:tc>
          <w:tcPr>
            <w:tcW w:w="766" w:type="pct"/>
            <w:vMerge w:val="continue"/>
            <w:tcBorders>
              <w:top w:val="nil"/>
              <w:left w:val="single" w:color="auto" w:sz="4" w:space="0"/>
              <w:bottom w:val="single" w:color="auto" w:sz="4" w:space="0"/>
              <w:right w:val="single" w:color="auto" w:sz="4" w:space="0"/>
            </w:tcBorders>
            <w:vAlign w:val="center"/>
          </w:tcPr>
          <w:p w14:paraId="25B19950">
            <w:pPr>
              <w:widowControl/>
              <w:adjustRightInd/>
              <w:snapToGrid/>
              <w:spacing w:line="240" w:lineRule="auto"/>
              <w:ind w:firstLine="0" w:firstLineChars="0"/>
              <w:jc w:val="left"/>
              <w:rPr>
                <w:rFonts w:ascii="宋体" w:hAnsi="宋体" w:eastAsia="宋体" w:cs="宋体"/>
                <w:kern w:val="0"/>
                <w:sz w:val="22"/>
                <w:szCs w:val="22"/>
                <w:highlight w:val="none"/>
              </w:rPr>
            </w:pPr>
          </w:p>
        </w:tc>
        <w:tc>
          <w:tcPr>
            <w:tcW w:w="2337" w:type="pct"/>
            <w:tcBorders>
              <w:top w:val="nil"/>
              <w:left w:val="nil"/>
              <w:bottom w:val="single" w:color="auto" w:sz="4" w:space="0"/>
              <w:right w:val="single" w:color="auto" w:sz="4" w:space="0"/>
            </w:tcBorders>
            <w:shd w:val="clear" w:color="auto" w:fill="auto"/>
            <w:noWrap/>
            <w:vAlign w:val="center"/>
          </w:tcPr>
          <w:p w14:paraId="252ED26B">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水土流失率（</w:t>
            </w:r>
            <w:r>
              <w:rPr>
                <w:rFonts w:eastAsia="宋体"/>
                <w:kern w:val="0"/>
                <w:sz w:val="22"/>
                <w:szCs w:val="22"/>
                <w:highlight w:val="none"/>
              </w:rPr>
              <w:t>%</w:t>
            </w:r>
            <w:r>
              <w:rPr>
                <w:rFonts w:hint="eastAsia" w:ascii="宋体" w:hAnsi="宋体" w:eastAsia="宋体" w:cs="宋体"/>
                <w:kern w:val="0"/>
                <w:sz w:val="22"/>
                <w:szCs w:val="22"/>
                <w:highlight w:val="none"/>
              </w:rPr>
              <w:t>）</w:t>
            </w:r>
          </w:p>
        </w:tc>
        <w:tc>
          <w:tcPr>
            <w:tcW w:w="949" w:type="pct"/>
            <w:tcBorders>
              <w:top w:val="nil"/>
              <w:left w:val="nil"/>
              <w:bottom w:val="single" w:color="auto" w:sz="4" w:space="0"/>
              <w:right w:val="single" w:color="auto" w:sz="4" w:space="0"/>
            </w:tcBorders>
            <w:shd w:val="clear" w:color="auto" w:fill="auto"/>
            <w:noWrap/>
            <w:vAlign w:val="center"/>
          </w:tcPr>
          <w:p w14:paraId="5AD75E89">
            <w:pPr>
              <w:widowControl/>
              <w:adjustRightInd/>
              <w:snapToGrid/>
              <w:spacing w:line="240" w:lineRule="auto"/>
              <w:ind w:firstLine="0" w:firstLineChars="0"/>
              <w:jc w:val="center"/>
              <w:rPr>
                <w:rFonts w:hint="default" w:eastAsia="等线"/>
                <w:kern w:val="0"/>
                <w:sz w:val="22"/>
                <w:szCs w:val="22"/>
                <w:highlight w:val="none"/>
                <w:lang w:val="en-US" w:eastAsia="zh-CN"/>
              </w:rPr>
            </w:pPr>
            <w:r>
              <w:rPr>
                <w:rFonts w:hint="eastAsia" w:eastAsia="等线"/>
                <w:kern w:val="0"/>
                <w:sz w:val="22"/>
                <w:szCs w:val="22"/>
                <w:highlight w:val="none"/>
                <w:lang w:val="en-US" w:eastAsia="zh-CN"/>
              </w:rPr>
              <w:t>32.4</w:t>
            </w:r>
          </w:p>
        </w:tc>
        <w:tc>
          <w:tcPr>
            <w:tcW w:w="946" w:type="pct"/>
            <w:tcBorders>
              <w:top w:val="nil"/>
              <w:left w:val="nil"/>
              <w:bottom w:val="single" w:color="auto" w:sz="4" w:space="0"/>
              <w:right w:val="single" w:color="auto" w:sz="4" w:space="0"/>
            </w:tcBorders>
            <w:shd w:val="clear" w:color="auto" w:fill="auto"/>
            <w:noWrap/>
            <w:vAlign w:val="center"/>
          </w:tcPr>
          <w:p w14:paraId="6B211906">
            <w:pPr>
              <w:widowControl/>
              <w:adjustRightInd/>
              <w:snapToGrid/>
              <w:spacing w:line="240" w:lineRule="auto"/>
              <w:ind w:firstLine="0" w:firstLineChars="0"/>
              <w:jc w:val="center"/>
              <w:rPr>
                <w:rFonts w:hint="default" w:ascii="Times New Roman" w:hAnsi="Times New Roman" w:eastAsia="等线" w:cs="Times New Roman"/>
                <w:kern w:val="0"/>
                <w:sz w:val="22"/>
                <w:szCs w:val="22"/>
                <w:highlight w:val="none"/>
                <w:lang w:val="en-US" w:eastAsia="zh-CN"/>
              </w:rPr>
            </w:pPr>
            <w:r>
              <w:rPr>
                <w:rFonts w:hint="eastAsia" w:eastAsia="等线" w:cs="Times New Roman"/>
                <w:kern w:val="0"/>
                <w:sz w:val="22"/>
                <w:szCs w:val="22"/>
                <w:highlight w:val="none"/>
                <w:lang w:val="en-US" w:eastAsia="zh-CN"/>
              </w:rPr>
              <w:t>18.5</w:t>
            </w:r>
          </w:p>
        </w:tc>
      </w:tr>
      <w:tr w14:paraId="6CEB31B7">
        <w:tblPrEx>
          <w:tblCellMar>
            <w:top w:w="0" w:type="dxa"/>
            <w:left w:w="108" w:type="dxa"/>
            <w:bottom w:w="0" w:type="dxa"/>
            <w:right w:w="108" w:type="dxa"/>
          </w:tblCellMar>
        </w:tblPrEx>
        <w:trPr>
          <w:trHeight w:val="340" w:hRule="atLeast"/>
        </w:trPr>
        <w:tc>
          <w:tcPr>
            <w:tcW w:w="766" w:type="pct"/>
            <w:vMerge w:val="restart"/>
            <w:tcBorders>
              <w:top w:val="nil"/>
              <w:left w:val="single" w:color="auto" w:sz="4" w:space="0"/>
              <w:bottom w:val="single" w:color="auto" w:sz="4" w:space="0"/>
              <w:right w:val="single" w:color="auto" w:sz="4" w:space="0"/>
            </w:tcBorders>
            <w:shd w:val="clear" w:color="auto" w:fill="auto"/>
            <w:noWrap/>
            <w:vAlign w:val="center"/>
          </w:tcPr>
          <w:p w14:paraId="7FF76CAB">
            <w:pPr>
              <w:widowControl/>
              <w:adjustRightInd/>
              <w:snapToGrid/>
              <w:spacing w:line="240" w:lineRule="auto"/>
              <w:ind w:firstLine="0" w:firstLineChars="0"/>
              <w:jc w:val="center"/>
              <w:rPr>
                <w:rFonts w:ascii="宋体" w:hAnsi="宋体" w:eastAsia="宋体" w:cs="宋体"/>
                <w:kern w:val="0"/>
                <w:sz w:val="22"/>
                <w:szCs w:val="22"/>
                <w:highlight w:val="none"/>
              </w:rPr>
            </w:pPr>
            <w:r>
              <w:rPr>
                <w:rFonts w:hint="eastAsia" w:ascii="宋体" w:hAnsi="宋体" w:eastAsia="宋体" w:cs="宋体"/>
                <w:kern w:val="0"/>
                <w:sz w:val="22"/>
                <w:szCs w:val="22"/>
                <w:highlight w:val="none"/>
              </w:rPr>
              <w:t>水利基础设施</w:t>
            </w:r>
          </w:p>
        </w:tc>
        <w:tc>
          <w:tcPr>
            <w:tcW w:w="2337" w:type="pct"/>
            <w:tcBorders>
              <w:top w:val="nil"/>
              <w:left w:val="nil"/>
              <w:bottom w:val="single" w:color="auto" w:sz="4" w:space="0"/>
              <w:right w:val="single" w:color="auto" w:sz="4" w:space="0"/>
            </w:tcBorders>
            <w:shd w:val="clear" w:color="auto" w:fill="auto"/>
            <w:noWrap/>
            <w:vAlign w:val="center"/>
          </w:tcPr>
          <w:p w14:paraId="6091D867">
            <w:pPr>
              <w:widowControl/>
              <w:adjustRightInd/>
              <w:snapToGrid/>
              <w:spacing w:line="24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已建，在建大型水利基础设施用地面积（</w:t>
            </w:r>
            <w:r>
              <w:rPr>
                <w:rFonts w:eastAsia="宋体"/>
                <w:color w:val="auto"/>
                <w:kern w:val="0"/>
                <w:sz w:val="22"/>
                <w:szCs w:val="22"/>
                <w:highlight w:val="none"/>
              </w:rPr>
              <w:t>km</w:t>
            </w:r>
            <w:r>
              <w:rPr>
                <w:rFonts w:eastAsia="宋体"/>
                <w:color w:val="auto"/>
                <w:kern w:val="0"/>
                <w:sz w:val="22"/>
                <w:szCs w:val="22"/>
                <w:highlight w:val="none"/>
                <w:vertAlign w:val="superscript"/>
              </w:rPr>
              <w:t>2</w:t>
            </w:r>
            <w:r>
              <w:rPr>
                <w:rFonts w:hint="eastAsia" w:ascii="宋体" w:hAnsi="宋体" w:eastAsia="宋体" w:cs="宋体"/>
                <w:color w:val="auto"/>
                <w:kern w:val="0"/>
                <w:sz w:val="22"/>
                <w:szCs w:val="22"/>
                <w:highlight w:val="none"/>
              </w:rPr>
              <w:t>）</w:t>
            </w:r>
          </w:p>
        </w:tc>
        <w:tc>
          <w:tcPr>
            <w:tcW w:w="1896" w:type="pct"/>
            <w:gridSpan w:val="2"/>
            <w:tcBorders>
              <w:top w:val="nil"/>
              <w:left w:val="nil"/>
              <w:bottom w:val="single" w:color="auto" w:sz="4" w:space="0"/>
              <w:right w:val="single" w:color="auto" w:sz="4" w:space="0"/>
            </w:tcBorders>
            <w:shd w:val="clear" w:color="auto" w:fill="auto"/>
            <w:noWrap/>
            <w:vAlign w:val="center"/>
          </w:tcPr>
          <w:p w14:paraId="1AD4D7B4">
            <w:pPr>
              <w:widowControl/>
              <w:adjustRightInd/>
              <w:snapToGrid/>
              <w:spacing w:line="240" w:lineRule="auto"/>
              <w:ind w:firstLine="0" w:firstLineChars="0"/>
              <w:jc w:val="center"/>
              <w:rPr>
                <w:rFonts w:hint="default" w:eastAsia="等线"/>
                <w:kern w:val="0"/>
                <w:sz w:val="22"/>
                <w:szCs w:val="22"/>
                <w:highlight w:val="none"/>
                <w:lang w:val="en-US" w:eastAsia="zh-CN"/>
              </w:rPr>
            </w:pPr>
            <w:r>
              <w:rPr>
                <w:rFonts w:hint="eastAsia" w:eastAsia="等线"/>
                <w:kern w:val="0"/>
                <w:sz w:val="22"/>
                <w:szCs w:val="22"/>
                <w:highlight w:val="none"/>
                <w:lang w:val="en-US" w:eastAsia="zh-CN"/>
              </w:rPr>
              <w:t>11.66</w:t>
            </w:r>
          </w:p>
        </w:tc>
      </w:tr>
      <w:tr w14:paraId="0EB034BD">
        <w:tblPrEx>
          <w:tblCellMar>
            <w:top w:w="0" w:type="dxa"/>
            <w:left w:w="108" w:type="dxa"/>
            <w:bottom w:w="0" w:type="dxa"/>
            <w:right w:w="108" w:type="dxa"/>
          </w:tblCellMar>
        </w:tblPrEx>
        <w:trPr>
          <w:trHeight w:val="340" w:hRule="atLeast"/>
        </w:trPr>
        <w:tc>
          <w:tcPr>
            <w:tcW w:w="766" w:type="pct"/>
            <w:vMerge w:val="continue"/>
            <w:tcBorders>
              <w:top w:val="nil"/>
              <w:left w:val="single" w:color="auto" w:sz="4" w:space="0"/>
              <w:bottom w:val="single" w:color="auto" w:sz="4" w:space="0"/>
              <w:right w:val="single" w:color="auto" w:sz="4" w:space="0"/>
            </w:tcBorders>
            <w:vAlign w:val="center"/>
          </w:tcPr>
          <w:p w14:paraId="32C0CB31">
            <w:pPr>
              <w:widowControl/>
              <w:adjustRightInd/>
              <w:snapToGrid/>
              <w:spacing w:line="240" w:lineRule="auto"/>
              <w:ind w:firstLine="0" w:firstLineChars="0"/>
              <w:jc w:val="left"/>
              <w:rPr>
                <w:rFonts w:ascii="宋体" w:hAnsi="宋体" w:eastAsia="宋体" w:cs="宋体"/>
                <w:kern w:val="0"/>
                <w:sz w:val="22"/>
                <w:szCs w:val="22"/>
                <w:highlight w:val="none"/>
              </w:rPr>
            </w:pPr>
          </w:p>
        </w:tc>
        <w:tc>
          <w:tcPr>
            <w:tcW w:w="2337" w:type="pct"/>
            <w:tcBorders>
              <w:top w:val="nil"/>
              <w:left w:val="nil"/>
              <w:bottom w:val="single" w:color="auto" w:sz="4" w:space="0"/>
              <w:right w:val="single" w:color="auto" w:sz="4" w:space="0"/>
            </w:tcBorders>
            <w:shd w:val="clear" w:color="auto" w:fill="auto"/>
            <w:noWrap/>
            <w:vAlign w:val="center"/>
          </w:tcPr>
          <w:p w14:paraId="0F663B11">
            <w:pPr>
              <w:widowControl/>
              <w:adjustRightInd/>
              <w:snapToGrid/>
              <w:spacing w:line="240" w:lineRule="auto"/>
              <w:ind w:firstLine="0" w:firstLineChars="0"/>
              <w:jc w:val="center"/>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规划大型水利基础设施用地预留面积（</w:t>
            </w:r>
            <w:r>
              <w:rPr>
                <w:rFonts w:eastAsia="宋体"/>
                <w:color w:val="auto"/>
                <w:kern w:val="0"/>
                <w:sz w:val="22"/>
                <w:szCs w:val="22"/>
                <w:highlight w:val="none"/>
              </w:rPr>
              <w:t>km</w:t>
            </w:r>
            <w:r>
              <w:rPr>
                <w:rFonts w:eastAsia="宋体"/>
                <w:color w:val="auto"/>
                <w:kern w:val="0"/>
                <w:sz w:val="22"/>
                <w:szCs w:val="22"/>
                <w:highlight w:val="none"/>
                <w:vertAlign w:val="superscript"/>
              </w:rPr>
              <w:t>2</w:t>
            </w:r>
            <w:r>
              <w:rPr>
                <w:rFonts w:hint="eastAsia" w:ascii="宋体" w:hAnsi="宋体" w:eastAsia="宋体" w:cs="宋体"/>
                <w:color w:val="auto"/>
                <w:kern w:val="0"/>
                <w:sz w:val="22"/>
                <w:szCs w:val="22"/>
                <w:highlight w:val="none"/>
              </w:rPr>
              <w:t>）</w:t>
            </w:r>
          </w:p>
        </w:tc>
        <w:tc>
          <w:tcPr>
            <w:tcW w:w="1896" w:type="pct"/>
            <w:gridSpan w:val="2"/>
            <w:tcBorders>
              <w:top w:val="nil"/>
              <w:left w:val="nil"/>
              <w:bottom w:val="single" w:color="auto" w:sz="4" w:space="0"/>
              <w:right w:val="single" w:color="auto" w:sz="4" w:space="0"/>
            </w:tcBorders>
            <w:shd w:val="clear" w:color="auto" w:fill="auto"/>
            <w:noWrap/>
            <w:vAlign w:val="center"/>
          </w:tcPr>
          <w:p w14:paraId="5892FA9C">
            <w:pPr>
              <w:widowControl/>
              <w:adjustRightInd/>
              <w:snapToGrid/>
              <w:spacing w:line="240" w:lineRule="auto"/>
              <w:ind w:firstLine="0" w:firstLineChars="0"/>
              <w:jc w:val="center"/>
              <w:rPr>
                <w:rFonts w:hint="default" w:eastAsia="等线"/>
                <w:kern w:val="0"/>
                <w:sz w:val="22"/>
                <w:szCs w:val="22"/>
                <w:highlight w:val="none"/>
                <w:lang w:val="en-US" w:eastAsia="zh-CN"/>
              </w:rPr>
            </w:pPr>
            <w:r>
              <w:rPr>
                <w:rFonts w:hint="eastAsia" w:eastAsia="等线"/>
                <w:kern w:val="0"/>
                <w:sz w:val="22"/>
                <w:szCs w:val="22"/>
                <w:highlight w:val="none"/>
                <w:lang w:val="en-US" w:eastAsia="zh-CN"/>
              </w:rPr>
              <w:t>/</w:t>
            </w:r>
          </w:p>
        </w:tc>
      </w:tr>
    </w:tbl>
    <w:p w14:paraId="6CABF8B4">
      <w:pPr>
        <w:pStyle w:val="5"/>
        <w:rPr>
          <w:rFonts w:hint="default"/>
          <w:lang w:val="en-US"/>
        </w:rPr>
      </w:pPr>
      <w:bookmarkStart w:id="67" w:name="_Toc13919"/>
      <w:r>
        <w:rPr>
          <w:rFonts w:hint="eastAsia"/>
          <w:lang w:val="en-US" w:eastAsia="zh-CN"/>
        </w:rPr>
        <w:t>3.7水安全保障总体策略</w:t>
      </w:r>
      <w:bookmarkEnd w:id="67"/>
    </w:p>
    <w:p w14:paraId="2F1BBB11">
      <w:pPr>
        <w:keepNext w:val="0"/>
        <w:keepLines w:val="0"/>
        <w:widowControl/>
        <w:suppressLineNumbers w:val="0"/>
        <w:jc w:val="both"/>
        <w:rPr>
          <w:rFonts w:hint="eastAsia" w:ascii="Times New Roman" w:hAnsi="Times New Roman" w:eastAsia="宋体" w:cs="Times New Roman"/>
          <w:kern w:val="0"/>
          <w:sz w:val="28"/>
          <w:szCs w:val="28"/>
          <w:lang w:val="en-US" w:eastAsia="zh-CN" w:bidi="ar-SA"/>
        </w:rPr>
      </w:pPr>
      <w:r>
        <w:rPr>
          <w:rFonts w:hint="eastAsia" w:ascii="Times New Roman" w:hAnsi="Times New Roman" w:eastAsia="宋体" w:cs="Times New Roman"/>
          <w:kern w:val="0"/>
          <w:sz w:val="28"/>
          <w:szCs w:val="28"/>
          <w:lang w:val="en-US" w:eastAsia="zh-CN" w:bidi="ar-SA"/>
        </w:rPr>
        <w:t xml:space="preserve">根据涉水空间和水利基础设施空间对国土空间开发利用的要求，以解决存在问题为导向，按照山水林田湖草是一个生命共同体理念和水资源、水生态、水环境、水灾害统筹治理的总体思路，从涉水空间管控、水资源承载力对国土空间布局的约束、水利基础设施高质量发展、涉水空间保护与修复及水安全风险防控等方面，水安全保障总体策略如下： </w:t>
      </w:r>
    </w:p>
    <w:p w14:paraId="0C203CE6">
      <w:pPr>
        <w:keepNext w:val="0"/>
        <w:keepLines w:val="0"/>
        <w:widowControl/>
        <w:suppressLineNumbers w:val="0"/>
        <w:jc w:val="both"/>
        <w:rPr>
          <w:rFonts w:hint="eastAsia"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 xml:space="preserve">（1）强化水资源刚性约束 </w:t>
      </w:r>
    </w:p>
    <w:p w14:paraId="6CD2E84D">
      <w:pPr>
        <w:keepNext w:val="0"/>
        <w:keepLines w:val="0"/>
        <w:widowControl/>
        <w:suppressLineNumbers w:val="0"/>
        <w:jc w:val="both"/>
        <w:rPr>
          <w:rFonts w:hint="eastAsia"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严格用水总量管理，以省下达的全</w:t>
      </w:r>
      <w:r>
        <w:rPr>
          <w:rFonts w:hint="eastAsia" w:eastAsia="宋体" w:cs="Times New Roman"/>
          <w:kern w:val="0"/>
          <w:sz w:val="28"/>
          <w:szCs w:val="28"/>
          <w:lang w:val="en-US" w:eastAsia="zh-CN" w:bidi="ar-SA"/>
        </w:rPr>
        <w:t>县</w:t>
      </w:r>
      <w:r>
        <w:rPr>
          <w:rFonts w:hint="default" w:ascii="Times New Roman" w:hAnsi="Times New Roman" w:eastAsia="宋体" w:cs="Times New Roman"/>
          <w:kern w:val="0"/>
          <w:sz w:val="28"/>
          <w:szCs w:val="28"/>
          <w:lang w:val="en-US" w:eastAsia="zh-CN" w:bidi="ar-SA"/>
        </w:rPr>
        <w:t>用水总量控制指标为上限，实施水资源开发利用分区管控；提高节水能力和用水效率，继续深化推进</w:t>
      </w:r>
      <w:r>
        <w:rPr>
          <w:rFonts w:hint="eastAsia" w:eastAsia="宋体" w:cs="Times New Roman"/>
          <w:kern w:val="0"/>
          <w:sz w:val="28"/>
          <w:szCs w:val="28"/>
          <w:lang w:val="en-US" w:eastAsia="zh-CN" w:bidi="ar-SA"/>
        </w:rPr>
        <w:t>泽州县</w:t>
      </w:r>
      <w:r>
        <w:rPr>
          <w:rFonts w:hint="default" w:ascii="Times New Roman" w:hAnsi="Times New Roman" w:eastAsia="宋体" w:cs="Times New Roman"/>
          <w:kern w:val="0"/>
          <w:sz w:val="28"/>
          <w:szCs w:val="28"/>
          <w:lang w:val="en-US" w:eastAsia="zh-CN" w:bidi="ar-SA"/>
        </w:rPr>
        <w:t xml:space="preserve">节水型社会建设工作；提高水功能区水质达标率，严格水功能区限制排污总量，加强水功能区限制纳污红线管理。 </w:t>
      </w:r>
    </w:p>
    <w:p w14:paraId="1A12F2C2">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 xml:space="preserve">（2）显著提高水资源供给保障能力 </w:t>
      </w:r>
    </w:p>
    <w:p w14:paraId="14A2F494">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谋划建设水源、管网、水厂等配套工程，提升水源调蓄、原水调配、水厂生产等能力，建立县级水网规划体系，逐步构建泽州县以南部与中北部供水水网为主体，覆盖16个乡镇人口和经济的现代水网体系。规划到2025年，县级水网工程覆盖人口与全县人口的比值达到70%，到2035年达到90%。</w:t>
      </w:r>
    </w:p>
    <w:p w14:paraId="46B1312B">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 xml:space="preserve">（3）全面完善防洪水安全保障体系 </w:t>
      </w:r>
    </w:p>
    <w:p w14:paraId="43316253">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大力推进堤防防洪标准及能力提升建设，构建</w:t>
      </w:r>
      <w:r>
        <w:rPr>
          <w:rFonts w:hint="eastAsia" w:eastAsia="宋体" w:cs="Times New Roman"/>
          <w:kern w:val="0"/>
          <w:sz w:val="28"/>
          <w:szCs w:val="28"/>
          <w:lang w:val="en-US" w:eastAsia="zh-CN" w:bidi="ar-SA"/>
        </w:rPr>
        <w:t>与经济发展</w:t>
      </w:r>
      <w:r>
        <w:rPr>
          <w:rFonts w:hint="default" w:ascii="Times New Roman" w:hAnsi="Times New Roman" w:eastAsia="宋体" w:cs="Times New Roman"/>
          <w:kern w:val="0"/>
          <w:sz w:val="28"/>
          <w:szCs w:val="28"/>
          <w:lang w:val="en-US" w:eastAsia="zh-CN" w:bidi="ar-SA"/>
        </w:rPr>
        <w:t>相适应的水安全保障体系，沁河、丹河及主要中小河流、县城河段防洪能力全面达标。以水库为骨干、以堤防为基础、防洪缓洪区为补充，结合防洪非工程措施的综合性防洪减灾体系全面建成。持续完善防洪工程体系。实施防洪能力提升工程。全面提升河道防灾减灾能力。加强项目储备规划，全力争取项目落地，持续加强防洪工程体系建设。全县中小河流全面治理，沁河、丹河防洪能力显著提升。沁河重点防洪保护区、重要河段防洪能力提档升级，洪涝灾害防御能力显著增强，水库安全达标率达到100%，堤防达标率达到100%。</w:t>
      </w:r>
    </w:p>
    <w:p w14:paraId="4D4A8F6C">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 xml:space="preserve">（4）系统开展农村水利治理 </w:t>
      </w:r>
    </w:p>
    <w:p w14:paraId="3402A514">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立足</w:t>
      </w:r>
      <w:r>
        <w:rPr>
          <w:rFonts w:hint="eastAsia" w:eastAsia="宋体" w:cs="Times New Roman"/>
          <w:kern w:val="0"/>
          <w:sz w:val="28"/>
          <w:szCs w:val="28"/>
          <w:lang w:val="en-US" w:eastAsia="zh-CN" w:bidi="ar-SA"/>
        </w:rPr>
        <w:t>泽州县</w:t>
      </w:r>
      <w:r>
        <w:rPr>
          <w:rFonts w:hint="default" w:ascii="Times New Roman" w:hAnsi="Times New Roman" w:eastAsia="宋体" w:cs="Times New Roman"/>
          <w:kern w:val="0"/>
          <w:sz w:val="28"/>
          <w:szCs w:val="28"/>
          <w:lang w:val="en-US" w:eastAsia="zh-CN" w:bidi="ar-SA"/>
        </w:rPr>
        <w:t>农村水利现状和突出问题，以实施排灌闸站建设与更新改造、农村河</w:t>
      </w:r>
      <w:r>
        <w:rPr>
          <w:rFonts w:hint="eastAsia" w:eastAsia="宋体" w:cs="Times New Roman"/>
          <w:kern w:val="0"/>
          <w:sz w:val="28"/>
          <w:szCs w:val="28"/>
          <w:lang w:val="en-US" w:eastAsia="zh-CN" w:bidi="ar-SA"/>
        </w:rPr>
        <w:t>道</w:t>
      </w:r>
      <w:r>
        <w:rPr>
          <w:rFonts w:hint="default" w:ascii="Times New Roman" w:hAnsi="Times New Roman" w:eastAsia="宋体" w:cs="Times New Roman"/>
          <w:kern w:val="0"/>
          <w:sz w:val="28"/>
          <w:szCs w:val="28"/>
          <w:lang w:val="en-US" w:eastAsia="zh-CN" w:bidi="ar-SA"/>
        </w:rPr>
        <w:t xml:space="preserve">整治、山洪拦截与排导设施建设为重点，构建农村水利工程建设体系，分类有序推进农村水利治理，逐步提升农村防洪排涝能力。 </w:t>
      </w:r>
    </w:p>
    <w:p w14:paraId="70425ECD">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 xml:space="preserve">（5）全面提升水生态环境质量 </w:t>
      </w:r>
    </w:p>
    <w:p w14:paraId="22684D1C">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eastAsia" w:eastAsia="宋体" w:cs="Times New Roman"/>
          <w:kern w:val="0"/>
          <w:sz w:val="28"/>
          <w:szCs w:val="28"/>
          <w:lang w:val="en-US" w:eastAsia="zh-CN" w:bidi="ar-SA"/>
        </w:rPr>
        <w:t>依托</w:t>
      </w:r>
      <w:r>
        <w:rPr>
          <w:rFonts w:hint="default" w:ascii="Times New Roman" w:hAnsi="Times New Roman" w:eastAsia="宋体" w:cs="Times New Roman"/>
          <w:kern w:val="0"/>
          <w:sz w:val="28"/>
          <w:szCs w:val="28"/>
          <w:lang w:val="en-US" w:eastAsia="zh-CN" w:bidi="ar-SA"/>
        </w:rPr>
        <w:t>百里沁河生态经济带与主城区河湖水系生态显著恢复，全面提升水生态环境治理修复能力。重点进行以水土流失和水源涵养为重点的生态建设，着重加强水土保持和生物多样性等功能。重要河流主要控制断面生态流量满足率在2025年达到90%，2035年达到100%；水土保持率在2025年达到65%，2035年达到70%。</w:t>
      </w:r>
    </w:p>
    <w:p w14:paraId="0F7E8A83">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 xml:space="preserve">（6）完善涉水生态空间保护与管控体系 </w:t>
      </w:r>
    </w:p>
    <w:p w14:paraId="0ADDBDA6">
      <w:pPr>
        <w:keepNext w:val="0"/>
        <w:keepLines w:val="0"/>
        <w:widowControl/>
        <w:suppressLineNumbers w:val="0"/>
        <w:jc w:val="both"/>
        <w:rPr>
          <w:rFonts w:hint="default" w:ascii="Times New Roman" w:hAnsi="Times New Roman" w:eastAsia="宋体" w:cs="Times New Roman"/>
          <w:kern w:val="0"/>
          <w:sz w:val="28"/>
          <w:szCs w:val="28"/>
          <w:lang w:val="en-US" w:eastAsia="zh-CN" w:bidi="ar-SA"/>
        </w:rPr>
      </w:pPr>
      <w:r>
        <w:rPr>
          <w:rFonts w:hint="default" w:ascii="Times New Roman" w:hAnsi="Times New Roman" w:eastAsia="宋体" w:cs="Times New Roman"/>
          <w:kern w:val="0"/>
          <w:sz w:val="28"/>
          <w:szCs w:val="28"/>
          <w:lang w:val="en-US" w:eastAsia="zh-CN" w:bidi="ar-SA"/>
        </w:rPr>
        <w:t>在涉水生态空间划定与水利基础设施布局的基础上，以维护和改善河湖水生态系统功能为目标，从涉水生态空间面积不减少、生态功能不降低的要求出发， 提升水生态系统的完整性和系统性，保障水利基础设施工程安全可靠、功能正常发挥等要求，分级分类提出涉水生态空间和水利基础设施用地的管控措施、保护要求；建立涉水空间监测体系，开展涉水空间管控制度建设。</w:t>
      </w:r>
    </w:p>
    <w:p w14:paraId="61809256">
      <w:pPr>
        <w:pStyle w:val="180"/>
        <w:keepNext w:val="0"/>
        <w:keepLines w:val="0"/>
        <w:pageBreakBefore w:val="0"/>
        <w:widowControl/>
        <w:kinsoku/>
        <w:wordWrap/>
        <w:overflowPunct/>
        <w:topLinePunct w:val="0"/>
        <w:autoSpaceDE/>
        <w:autoSpaceDN/>
        <w:bidi w:val="0"/>
        <w:adjustRightInd/>
        <w:snapToGrid w:val="0"/>
        <w:spacing w:line="360" w:lineRule="auto"/>
        <w:ind w:firstLine="560"/>
        <w:textAlignment w:val="auto"/>
        <w:rPr>
          <w:rFonts w:ascii="Times New Roman" w:hAnsi="Times New Roman"/>
        </w:rPr>
      </w:pPr>
    </w:p>
    <w:p w14:paraId="57C1A3CF">
      <w:pPr>
        <w:widowControl/>
        <w:adjustRightInd/>
        <w:snapToGrid/>
        <w:spacing w:line="240" w:lineRule="auto"/>
        <w:ind w:firstLine="0" w:firstLineChars="0"/>
        <w:jc w:val="left"/>
      </w:pPr>
      <w:r>
        <w:br w:type="page"/>
      </w:r>
    </w:p>
    <w:bookmarkEnd w:id="45"/>
    <w:p w14:paraId="4CFB34FE">
      <w:pPr>
        <w:pStyle w:val="4"/>
      </w:pPr>
      <w:bookmarkStart w:id="68" w:name="_Toc12159"/>
      <w:r>
        <w:rPr>
          <w:rFonts w:hint="eastAsia"/>
          <w:lang w:val="en-US" w:eastAsia="zh-CN"/>
        </w:rPr>
        <w:t>4</w:t>
      </w:r>
      <w:r>
        <w:t>涉水空间与涉水生态保护红线</w:t>
      </w:r>
      <w:bookmarkEnd w:id="68"/>
    </w:p>
    <w:p w14:paraId="15B3B1C5">
      <w:pPr>
        <w:pStyle w:val="5"/>
      </w:pPr>
      <w:bookmarkStart w:id="69" w:name="_Toc36060074"/>
      <w:bookmarkStart w:id="70" w:name="_Toc12193"/>
      <w:r>
        <w:rPr>
          <w:rFonts w:hint="eastAsia"/>
          <w:lang w:val="en-US" w:eastAsia="zh-CN"/>
        </w:rPr>
        <w:t>4.1</w:t>
      </w:r>
      <w:r>
        <w:t>涉水空间范围划定基本原则</w:t>
      </w:r>
      <w:bookmarkEnd w:id="69"/>
      <w:bookmarkEnd w:id="70"/>
    </w:p>
    <w:p w14:paraId="0F826E7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eastAsia="宋体"/>
          <w:sz w:val="28"/>
          <w:szCs w:val="28"/>
        </w:rPr>
      </w:pPr>
      <w:r>
        <w:rPr>
          <w:rFonts w:eastAsia="宋体"/>
          <w:sz w:val="28"/>
          <w:szCs w:val="28"/>
          <w:lang w:val="en-US" w:eastAsia="zh-CN"/>
        </w:rPr>
        <w:t>涉水生态空间指生态空间中的涉水部分，是为水文—</w:t>
      </w:r>
      <w:r>
        <w:rPr>
          <w:rFonts w:hint="default" w:eastAsia="宋体"/>
          <w:sz w:val="28"/>
          <w:szCs w:val="28"/>
          <w:lang w:val="en-US" w:eastAsia="zh-CN"/>
        </w:rPr>
        <w:t xml:space="preserve">生态系统提供必要的空间，直接为人类提供涉水生态服务或生态产品，以及保障涉水生态服务或生态产品正常供给的生态空间。 </w:t>
      </w:r>
    </w:p>
    <w:p w14:paraId="65165DE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eastAsia="宋体"/>
          <w:sz w:val="28"/>
          <w:szCs w:val="28"/>
        </w:rPr>
      </w:pPr>
      <w:r>
        <w:rPr>
          <w:rFonts w:hint="default" w:eastAsia="宋体"/>
          <w:sz w:val="28"/>
          <w:szCs w:val="28"/>
          <w:lang w:val="en-US" w:eastAsia="zh-CN"/>
        </w:rPr>
        <w:t xml:space="preserve">涉水生态空间依据其自然生态特征分为以水体为主的河流、湖泊等水域空间，以水陆交错为主的岸线空间，以及与水资源保护密切关联的涉水陆域空间等。主要包括河流、湖泊等水域、岸线空间；水源涵养、饮用水水源保护、水土保持、行蓄洪水等陆域涉水生态空间。其中，河湖岸线是指河流两侧、湖泊周边一定范围内水陆相交的带状区域，是河流、湖泊自然生态空间的重要组成部分。 </w:t>
      </w:r>
    </w:p>
    <w:p w14:paraId="7958B362">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ascii="Times New Roman" w:hAnsi="Times New Roman" w:eastAsia="宋体" w:cs="Times New Roman"/>
          <w:sz w:val="28"/>
          <w:szCs w:val="28"/>
          <w:highlight w:val="none"/>
        </w:rPr>
      </w:pPr>
      <w:r>
        <w:rPr>
          <w:rFonts w:hint="default" w:eastAsia="宋体"/>
          <w:sz w:val="28"/>
          <w:szCs w:val="28"/>
          <w:lang w:val="en-US" w:eastAsia="zh-CN"/>
        </w:rPr>
        <w:t>根据《中华人民共和国防洪法》《中华人民共和国河道管理条例》《水利部办公厅关于印发省级空间规划水利相关工作技术指导意见(试行)的通知》(办规计 〔2017〕153号)、《水利部关于加推进河湖管理范围划定工作的通知》(水河湖〔2018〕314号)、</w:t>
      </w:r>
      <w:r>
        <w:rPr>
          <w:rFonts w:eastAsia="宋体"/>
          <w:sz w:val="28"/>
          <w:szCs w:val="28"/>
        </w:rPr>
        <w:t>山西省河长制办公会《关于开展河湖和水库工程管理范围划界工作的通知》，</w:t>
      </w:r>
      <w:r>
        <w:rPr>
          <w:rFonts w:hint="eastAsia" w:eastAsia="宋体"/>
          <w:sz w:val="28"/>
          <w:szCs w:val="28"/>
          <w:lang w:val="en-US" w:eastAsia="zh-CN"/>
        </w:rPr>
        <w:t>泽州县</w:t>
      </w:r>
      <w:r>
        <w:rPr>
          <w:rFonts w:eastAsia="宋体"/>
          <w:sz w:val="28"/>
          <w:szCs w:val="28"/>
        </w:rPr>
        <w:t>全面开展</w:t>
      </w:r>
      <w:r>
        <w:rPr>
          <w:rFonts w:hint="eastAsia" w:eastAsia="宋体"/>
          <w:sz w:val="28"/>
          <w:szCs w:val="28"/>
          <w:lang w:val="en-US" w:eastAsia="zh-CN"/>
        </w:rPr>
        <w:t>县域内</w:t>
      </w:r>
      <w:r>
        <w:rPr>
          <w:rFonts w:eastAsia="宋体"/>
          <w:sz w:val="28"/>
          <w:szCs w:val="28"/>
        </w:rPr>
        <w:t>河流、水库的划界工作。到目前为止，已基本形成</w:t>
      </w:r>
      <w:r>
        <w:rPr>
          <w:rFonts w:hint="eastAsia" w:eastAsia="宋体"/>
          <w:sz w:val="28"/>
          <w:szCs w:val="28"/>
          <w:lang w:val="en-US" w:eastAsia="zh-CN"/>
        </w:rPr>
        <w:t>全县</w:t>
      </w:r>
      <w:r>
        <w:rPr>
          <w:rFonts w:hint="eastAsia" w:eastAsia="宋体"/>
          <w:sz w:val="28"/>
          <w:szCs w:val="28"/>
          <w:lang w:eastAsia="zh-CN"/>
        </w:rPr>
        <w:t>流域面积</w:t>
      </w:r>
      <w:r>
        <w:rPr>
          <w:rFonts w:hint="eastAsia" w:eastAsia="宋体"/>
          <w:sz w:val="28"/>
          <w:szCs w:val="28"/>
          <w:lang w:val="en-US" w:eastAsia="zh-CN"/>
        </w:rPr>
        <w:t>50km</w:t>
      </w:r>
      <w:r>
        <w:rPr>
          <w:rFonts w:hint="eastAsia" w:eastAsia="宋体"/>
          <w:sz w:val="28"/>
          <w:szCs w:val="28"/>
          <w:vertAlign w:val="superscript"/>
          <w:lang w:val="en-US" w:eastAsia="zh-CN"/>
        </w:rPr>
        <w:t>2</w:t>
      </w:r>
      <w:r>
        <w:rPr>
          <w:rFonts w:hint="eastAsia" w:eastAsia="宋体"/>
          <w:sz w:val="28"/>
          <w:szCs w:val="28"/>
          <w:lang w:val="en-US" w:eastAsia="zh-CN"/>
        </w:rPr>
        <w:t>以上</w:t>
      </w:r>
      <w:r>
        <w:rPr>
          <w:rFonts w:eastAsia="宋体"/>
          <w:sz w:val="28"/>
          <w:szCs w:val="28"/>
        </w:rPr>
        <w:t>河流</w:t>
      </w:r>
      <w:r>
        <w:rPr>
          <w:rFonts w:hint="eastAsia" w:eastAsia="宋体"/>
          <w:sz w:val="28"/>
          <w:szCs w:val="28"/>
          <w:lang w:val="en-US" w:eastAsia="zh-CN"/>
        </w:rPr>
        <w:t>及部分</w:t>
      </w:r>
      <w:r>
        <w:rPr>
          <w:rFonts w:hint="eastAsia" w:eastAsia="宋体"/>
          <w:sz w:val="28"/>
          <w:szCs w:val="28"/>
          <w:lang w:eastAsia="zh-CN"/>
        </w:rPr>
        <w:t>流域面积</w:t>
      </w:r>
      <w:r>
        <w:rPr>
          <w:rFonts w:hint="eastAsia" w:eastAsia="宋体"/>
          <w:sz w:val="28"/>
          <w:szCs w:val="28"/>
          <w:lang w:val="en-US" w:eastAsia="zh-CN"/>
        </w:rPr>
        <w:t>50km</w:t>
      </w:r>
      <w:r>
        <w:rPr>
          <w:rFonts w:hint="eastAsia" w:eastAsia="宋体"/>
          <w:sz w:val="28"/>
          <w:szCs w:val="28"/>
          <w:vertAlign w:val="superscript"/>
          <w:lang w:val="en-US" w:eastAsia="zh-CN"/>
        </w:rPr>
        <w:t>2</w:t>
      </w:r>
      <w:r>
        <w:rPr>
          <w:rFonts w:hint="eastAsia" w:eastAsia="宋体"/>
          <w:sz w:val="28"/>
          <w:szCs w:val="28"/>
          <w:lang w:val="en-US" w:eastAsia="zh-CN"/>
        </w:rPr>
        <w:t>以下</w:t>
      </w:r>
      <w:r>
        <w:rPr>
          <w:rFonts w:eastAsia="宋体"/>
          <w:sz w:val="28"/>
          <w:szCs w:val="28"/>
        </w:rPr>
        <w:t>河流的河道治导线规划及管理范围线划界成果</w:t>
      </w:r>
      <w:r>
        <w:rPr>
          <w:rFonts w:hint="eastAsia" w:eastAsia="宋体"/>
          <w:sz w:val="28"/>
          <w:szCs w:val="28"/>
          <w:lang w:val="en-US" w:eastAsia="zh-CN"/>
        </w:rPr>
        <w:t>；</w:t>
      </w:r>
      <w:r>
        <w:rPr>
          <w:rFonts w:eastAsia="宋体"/>
          <w:sz w:val="28"/>
          <w:szCs w:val="28"/>
        </w:rPr>
        <w:t>全</w:t>
      </w:r>
      <w:r>
        <w:rPr>
          <w:rFonts w:hint="eastAsia" w:eastAsia="宋体"/>
          <w:sz w:val="28"/>
          <w:szCs w:val="28"/>
          <w:lang w:val="en-US" w:eastAsia="zh-CN"/>
        </w:rPr>
        <w:t>县</w:t>
      </w:r>
      <w:r>
        <w:rPr>
          <w:rFonts w:hint="eastAsia" w:eastAsia="宋体"/>
          <w:sz w:val="28"/>
          <w:szCs w:val="28"/>
          <w:highlight w:val="none"/>
          <w:lang w:val="en-US" w:eastAsia="zh-CN"/>
        </w:rPr>
        <w:t>23座</w:t>
      </w:r>
      <w:r>
        <w:rPr>
          <w:rFonts w:eastAsia="宋体"/>
          <w:sz w:val="28"/>
          <w:szCs w:val="28"/>
        </w:rPr>
        <w:t>水库</w:t>
      </w:r>
      <w:r>
        <w:rPr>
          <w:rFonts w:hint="eastAsia" w:eastAsia="宋体"/>
          <w:sz w:val="28"/>
          <w:szCs w:val="28"/>
          <w:highlight w:val="none"/>
          <w:lang w:eastAsia="zh-CN"/>
        </w:rPr>
        <w:t>均已</w:t>
      </w:r>
      <w:r>
        <w:rPr>
          <w:rFonts w:eastAsia="宋体"/>
          <w:sz w:val="28"/>
          <w:szCs w:val="28"/>
          <w:highlight w:val="none"/>
        </w:rPr>
        <w:t>完成水库管理范围划界</w:t>
      </w:r>
      <w:r>
        <w:rPr>
          <w:rFonts w:hint="eastAsia" w:eastAsia="宋体"/>
          <w:sz w:val="28"/>
          <w:szCs w:val="28"/>
          <w:highlight w:val="none"/>
          <w:lang w:eastAsia="zh-CN"/>
        </w:rPr>
        <w:t>工作</w:t>
      </w:r>
      <w:r>
        <w:rPr>
          <w:rFonts w:ascii="Times New Roman" w:hAnsi="Times New Roman" w:eastAsia="宋体" w:cs="Times New Roman"/>
          <w:sz w:val="28"/>
          <w:szCs w:val="28"/>
          <w:highlight w:val="none"/>
        </w:rPr>
        <w:t>。</w:t>
      </w:r>
    </w:p>
    <w:p w14:paraId="2974830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本次结合</w:t>
      </w:r>
      <w:r>
        <w:rPr>
          <w:rFonts w:hint="eastAsia" w:eastAsia="宋体"/>
          <w:sz w:val="28"/>
          <w:szCs w:val="28"/>
          <w:lang w:val="en-US" w:eastAsia="zh-CN"/>
        </w:rPr>
        <w:t>泽州县</w:t>
      </w:r>
      <w:r>
        <w:rPr>
          <w:rFonts w:eastAsia="宋体"/>
          <w:sz w:val="28"/>
          <w:szCs w:val="28"/>
        </w:rPr>
        <w:t>第三次国土调查土地利用成果和</w:t>
      </w:r>
      <w:r>
        <w:rPr>
          <w:rFonts w:hint="eastAsia" w:eastAsia="宋体"/>
          <w:sz w:val="28"/>
          <w:szCs w:val="28"/>
          <w:lang w:val="en-US" w:eastAsia="zh-CN"/>
        </w:rPr>
        <w:t>泽州县</w:t>
      </w:r>
      <w:r>
        <w:rPr>
          <w:rFonts w:eastAsia="宋体"/>
          <w:sz w:val="28"/>
          <w:szCs w:val="28"/>
        </w:rPr>
        <w:t>的</w:t>
      </w:r>
      <w:r>
        <w:rPr>
          <w:rFonts w:hint="eastAsia" w:eastAsia="宋体"/>
          <w:sz w:val="28"/>
          <w:szCs w:val="28"/>
          <w:lang w:eastAsia="zh-CN"/>
        </w:rPr>
        <w:t>“</w:t>
      </w:r>
      <w:r>
        <w:rPr>
          <w:rFonts w:hint="default" w:eastAsia="宋体"/>
          <w:sz w:val="28"/>
          <w:szCs w:val="28"/>
        </w:rPr>
        <w:t>三区三线</w:t>
      </w:r>
      <w:r>
        <w:rPr>
          <w:rFonts w:hint="eastAsia" w:eastAsia="宋体"/>
          <w:sz w:val="28"/>
          <w:szCs w:val="28"/>
          <w:lang w:eastAsia="zh-CN"/>
        </w:rPr>
        <w:t>”</w:t>
      </w:r>
      <w:r>
        <w:rPr>
          <w:rFonts w:hint="default" w:eastAsia="宋体"/>
          <w:sz w:val="28"/>
          <w:szCs w:val="28"/>
        </w:rPr>
        <w:t>初步成果，衔接和协调城镇空间和农业空间划分成果，结合涉水生态空间用途管控要求，合理确定河流、湖泊、饮用水源保护、行蓄洪水等生态空间具体边界并落图。目前</w:t>
      </w:r>
      <w:r>
        <w:rPr>
          <w:rFonts w:hint="eastAsia" w:eastAsia="宋体"/>
          <w:sz w:val="28"/>
          <w:szCs w:val="28"/>
          <w:lang w:val="en-US" w:eastAsia="zh-CN"/>
        </w:rPr>
        <w:t>泽州县</w:t>
      </w:r>
      <w:r>
        <w:rPr>
          <w:rFonts w:hint="default" w:eastAsia="宋体"/>
          <w:sz w:val="28"/>
          <w:szCs w:val="28"/>
        </w:rPr>
        <w:t>已基本完成河流、</w:t>
      </w:r>
      <w:r>
        <w:rPr>
          <w:rFonts w:hint="eastAsia" w:eastAsia="宋体"/>
          <w:sz w:val="28"/>
          <w:szCs w:val="28"/>
          <w:lang w:val="en-US" w:eastAsia="zh-CN"/>
        </w:rPr>
        <w:t>水库</w:t>
      </w:r>
      <w:r>
        <w:rPr>
          <w:rFonts w:hint="default" w:eastAsia="宋体"/>
          <w:sz w:val="28"/>
          <w:szCs w:val="28"/>
        </w:rPr>
        <w:t>管理范围划界工作，但未开展河道保护范围划定以，</w:t>
      </w:r>
      <w:r>
        <w:rPr>
          <w:rFonts w:hint="eastAsia" w:eastAsia="宋体"/>
          <w:sz w:val="28"/>
          <w:szCs w:val="28"/>
          <w:lang w:val="en-US" w:eastAsia="zh-CN"/>
        </w:rPr>
        <w:t>主要</w:t>
      </w:r>
      <w:r>
        <w:rPr>
          <w:rFonts w:hint="default" w:eastAsia="宋体"/>
          <w:sz w:val="28"/>
          <w:szCs w:val="28"/>
        </w:rPr>
        <w:t>按下述原则划定</w:t>
      </w:r>
      <w:r>
        <w:rPr>
          <w:rFonts w:hint="eastAsia" w:eastAsia="宋体"/>
          <w:sz w:val="28"/>
          <w:szCs w:val="28"/>
          <w:lang w:eastAsia="zh-CN"/>
        </w:rPr>
        <w:t>，</w:t>
      </w:r>
      <w:r>
        <w:rPr>
          <w:rFonts w:hint="default" w:eastAsia="宋体"/>
          <w:sz w:val="28"/>
          <w:szCs w:val="28"/>
        </w:rPr>
        <w:t>本次将充分利用已有成果。</w:t>
      </w:r>
    </w:p>
    <w:p w14:paraId="5A86ACC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1、</w:t>
      </w:r>
      <w:r>
        <w:rPr>
          <w:rFonts w:eastAsia="宋体"/>
          <w:sz w:val="28"/>
          <w:szCs w:val="28"/>
        </w:rPr>
        <w:t>河道治导线规划和管理范围划界的基本原则：</w:t>
      </w:r>
    </w:p>
    <w:p w14:paraId="3909603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（1）河道治导线划定原则：</w:t>
      </w:r>
      <w:r>
        <w:rPr>
          <w:rFonts w:eastAsia="宋体"/>
          <w:sz w:val="28"/>
          <w:szCs w:val="28"/>
        </w:rPr>
        <w:t>根据各河段上游水库情况、来水来沙等规律，并结合河床地形地貌地质等特点，合理科学确定治导线宽度和外形。顺直型河段以维护、稳定现有河势为主要规划目标。治导线应平顺，基本与洪水流向一致，并留出足够的滩地和泄洪断面，以安全通过设计洪水泄量。弯曲型河段宜维护、稳定现有河势，力求使河道凹岸布置尽量依托在陡崖及支流汇入处形成的冲积扇位置，减轻或避免洪积扇对干流的危害，必要时采用防护工程控制凹岸发展，或采用控导工程适当改善弯道形态；支流汇入河段已经进行过整治的，依整治的堤防线为界；汇入的支流口未进行过整治、但有导水涵洞或其它设施的，依设施导入口为界；汇入的支流口未进行过整治呈天然状态的，依水力计算成果控制；库区段按照各水库管理范围划界成果划定。</w:t>
      </w:r>
    </w:p>
    <w:p w14:paraId="0452B8C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河道上已完成治理的河段，应以堤线作为洪水治导线，并尽可能考虑批复建设的堤坝工程，统一规划。两岸治导线间距宽应满足河道泄洪的要求，同一河段治导线宽度不宜突然放大和缩小，对局部束水严重、泄洪能力明显小于上下游的窄河段，宜清除阻水障碍、合理展宽治导线宽度，并应与上下游平缓衔接。</w:t>
      </w:r>
    </w:p>
    <w:p w14:paraId="3DBF3DC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eastAsia="zh-CN"/>
        </w:rPr>
        <w:t>（</w:t>
      </w:r>
      <w:r>
        <w:rPr>
          <w:rFonts w:hint="eastAsia" w:eastAsia="宋体"/>
          <w:sz w:val="28"/>
          <w:szCs w:val="28"/>
          <w:lang w:val="en-US" w:eastAsia="zh-CN"/>
        </w:rPr>
        <w:t>2</w:t>
      </w:r>
      <w:r>
        <w:rPr>
          <w:rFonts w:hint="eastAsia" w:eastAsia="宋体"/>
          <w:sz w:val="28"/>
          <w:szCs w:val="28"/>
          <w:lang w:eastAsia="zh-CN"/>
        </w:rPr>
        <w:t>）</w:t>
      </w:r>
      <w:r>
        <w:rPr>
          <w:rFonts w:eastAsia="宋体"/>
          <w:sz w:val="28"/>
          <w:szCs w:val="28"/>
        </w:rPr>
        <w:t>河道管理范围划界的基本原则：河道管理范围划界按照已建设堤防的河段和未建设堤防的河段分别划定，并考虑与河道生态修复规划（或河道综合整治工程设计）、已建水利工程管理范围等的衔接。对于已经建设堤防的河段且堤防满足治导线规划要求的，河道管理范围控制线以堤防背水坡脚向外水平延伸不超过</w:t>
      </w:r>
      <w:r>
        <w:rPr>
          <w:rFonts w:hint="eastAsia" w:eastAsia="宋体"/>
          <w:sz w:val="28"/>
          <w:szCs w:val="28"/>
          <w:lang w:val="en-US" w:eastAsia="zh-CN"/>
        </w:rPr>
        <w:t>1</w:t>
      </w:r>
      <w:r>
        <w:rPr>
          <w:rFonts w:eastAsia="宋体"/>
          <w:sz w:val="28"/>
          <w:szCs w:val="28"/>
        </w:rPr>
        <w:t>0m，若向外水平延伸不足</w:t>
      </w:r>
      <w:r>
        <w:rPr>
          <w:rFonts w:hint="eastAsia" w:eastAsia="宋体"/>
          <w:sz w:val="28"/>
          <w:szCs w:val="28"/>
          <w:lang w:val="en-US" w:eastAsia="zh-CN"/>
        </w:rPr>
        <w:t>1</w:t>
      </w:r>
      <w:r>
        <w:rPr>
          <w:rFonts w:eastAsia="宋体"/>
          <w:sz w:val="28"/>
          <w:szCs w:val="28"/>
        </w:rPr>
        <w:t>0m处有公路、村庄、厂矿等，则河道管理范围控制线为公路边、村庄外围、厂矿边墙等；对于已建堤防但堤防不满足治导线规划要求的河段，以治导线为临水控制线，充分考虑堤防设计底宽和护堤地的宽度进行划界。对于未开展河道治理的河段，为维护河道天然形态，避免河道渠化，按照河道地形进行划界。山区人类活动较少、开发程度较低的河段管理范围线可按照规划治导线划定；河谷平川区河道在管理范围划界过程中，考虑已建堤防保护范围或规划堤防占地范围，在治导线基础上适当外延划定。生态修复规划编制完成的河道，将河道两侧已规划的生态项目划入河道管理范围边界线内。河道管理范围划界与河流重要水利工程管理范围相衔接。</w:t>
      </w:r>
    </w:p>
    <w:p w14:paraId="6C257EE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2、</w:t>
      </w:r>
      <w:r>
        <w:rPr>
          <w:rFonts w:eastAsia="宋体"/>
          <w:sz w:val="28"/>
          <w:szCs w:val="28"/>
        </w:rPr>
        <w:t>水库管理范围划界的基本原则：</w:t>
      </w:r>
    </w:p>
    <w:p w14:paraId="4CEEA61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充分收集水利工程原有划界成果，做到尊重历史、兼顾现实、依法划界，依据确权，科学规划，因地制宜、遵循规律，人水和谐、先易后难，妥善解决。依据山西省河长办下发的《关于开展河湖和水库工程管理范围划界工作的通知》（晋河办</w:t>
      </w:r>
      <w:r>
        <w:rPr>
          <w:rFonts w:hint="eastAsia" w:ascii="宋体" w:hAnsi="宋体" w:eastAsia="宋体" w:cs="宋体"/>
          <w:sz w:val="28"/>
          <w:szCs w:val="28"/>
        </w:rPr>
        <w:t>〔</w:t>
      </w:r>
      <w:r>
        <w:rPr>
          <w:rFonts w:eastAsia="宋体"/>
          <w:sz w:val="28"/>
          <w:szCs w:val="28"/>
        </w:rPr>
        <w:t>2018</w:t>
      </w:r>
      <w:r>
        <w:rPr>
          <w:rFonts w:hint="eastAsia" w:ascii="宋体" w:hAnsi="宋体" w:eastAsia="宋体" w:cs="宋体"/>
          <w:sz w:val="28"/>
          <w:szCs w:val="28"/>
        </w:rPr>
        <w:t>〕</w:t>
      </w:r>
      <w:r>
        <w:rPr>
          <w:rFonts w:eastAsia="宋体"/>
          <w:sz w:val="28"/>
          <w:szCs w:val="28"/>
        </w:rPr>
        <w:t>4号），根据《水库工程管理设计规范》（SL106-2017）中管理范围用地指标，结合水利工程已有土地证四至范围，取外包线划定工程区管理范围。</w:t>
      </w:r>
    </w:p>
    <w:p w14:paraId="655B338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水库管理范围一般分为工程管理范围、运行区管理范围和库区管理范围分别划定。水库运行区管理范围包括建设管理局办公楼、防汛调度室、会议楼、仓库、油库、值班室、车库、食堂、值班宿舍、职工住宅、水泵房、生活水源地及其他附属设施等建（构）筑物的周边范围。水库工程区管理范围包括</w:t>
      </w:r>
      <w:r>
        <w:rPr>
          <w:rFonts w:hint="eastAsia" w:eastAsia="宋体"/>
          <w:sz w:val="28"/>
          <w:szCs w:val="28"/>
        </w:rPr>
        <w:t>水库</w:t>
      </w:r>
      <w:r>
        <w:rPr>
          <w:rFonts w:eastAsia="宋体"/>
          <w:sz w:val="28"/>
          <w:szCs w:val="28"/>
        </w:rPr>
        <w:t>枢纽建筑物周围的周边范围。水库库区管理范围：根据实测的地形资料，量测库区两岸原征用线范围，并考虑岸坡塌岸稳定计算边界范围后与已征地范围比较，取外包线作为库区管理范围。</w:t>
      </w:r>
    </w:p>
    <w:p w14:paraId="44CE86F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其他水利工程管理范围划定基本按照相关规范进行，部分类型工程无相关规范可依的，按照山西省人民政府晋政发办</w:t>
      </w:r>
      <w:r>
        <w:rPr>
          <w:rFonts w:hint="eastAsia" w:ascii="宋体" w:hAnsi="宋体" w:eastAsia="宋体" w:cs="宋体"/>
          <w:sz w:val="28"/>
          <w:szCs w:val="28"/>
        </w:rPr>
        <w:t>〔</w:t>
      </w:r>
      <w:r>
        <w:rPr>
          <w:rFonts w:eastAsia="宋体"/>
          <w:sz w:val="28"/>
          <w:szCs w:val="28"/>
        </w:rPr>
        <w:t>1991</w:t>
      </w:r>
      <w:r>
        <w:rPr>
          <w:rFonts w:hint="eastAsia" w:ascii="宋体" w:hAnsi="宋体" w:eastAsia="宋体" w:cs="宋体"/>
          <w:sz w:val="28"/>
          <w:szCs w:val="28"/>
        </w:rPr>
        <w:t>〕</w:t>
      </w:r>
      <w:r>
        <w:rPr>
          <w:rFonts w:eastAsia="宋体"/>
          <w:sz w:val="28"/>
          <w:szCs w:val="28"/>
        </w:rPr>
        <w:t>166号《山西省人民政府办公厅转发省水利厅、省土地管理局关于已建成水工程划定管理范围和保护范围的意见的通知》要求划定。</w:t>
      </w:r>
    </w:p>
    <w:p w14:paraId="0BAED70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3、</w:t>
      </w:r>
      <w:r>
        <w:rPr>
          <w:rFonts w:eastAsia="宋体"/>
          <w:sz w:val="28"/>
          <w:szCs w:val="28"/>
        </w:rPr>
        <w:t>饮用水水源地保护区划分的基本原则为：</w:t>
      </w:r>
    </w:p>
    <w:p w14:paraId="16AAC23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1）确定饮用水水源保护区划分的技术指标，应考虑以下因素：当地的地理位置、水文、气象、地质特征、水动力特性、水域污染类型、污染特征、污染源分布、排水区分布、水源地规模、水量需求。地表水饮用水源保护区范围应按照不同水域特点进行水质定量预测并考虑当地具体条件加以确定，保证在规划设计的水文条件和污染负荷下，供应规划水量时，保护区的水质能满足相应的标准。</w:t>
      </w:r>
    </w:p>
    <w:p w14:paraId="0DA966F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eastAsia="zh-CN"/>
        </w:rPr>
      </w:pPr>
      <w:r>
        <w:rPr>
          <w:rFonts w:hint="eastAsia" w:eastAsia="宋体"/>
          <w:sz w:val="28"/>
          <w:szCs w:val="28"/>
        </w:rPr>
        <w:t>（2）划定的水源保护区范围，应防止水源地附近人类活动对水源的直接污染；应足以使所选定的主要污染物在向取水点（或开采井、井群）输移（或运移）过程中，衰减到所期望的浓度水平；在正常情况下保证取水水质达到规定要求；一旦出现污染水源的突发情况，有采取紧急补救措施的时间和缓冲地带。</w:t>
      </w:r>
    </w:p>
    <w:p w14:paraId="0C1AC33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eastAsia="zh-CN"/>
        </w:rPr>
      </w:pPr>
      <w:r>
        <w:rPr>
          <w:rFonts w:hint="eastAsia" w:eastAsia="宋体"/>
          <w:sz w:val="28"/>
          <w:szCs w:val="28"/>
        </w:rPr>
        <w:t>（3）在确保饮用水水源水质不受污染的前提下，划定的水源保护区范围应尽可能小。</w:t>
      </w:r>
    </w:p>
    <w:p w14:paraId="30329FA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rPr>
      </w:pPr>
      <w:r>
        <w:rPr>
          <w:rFonts w:hint="eastAsia" w:eastAsia="宋体"/>
          <w:sz w:val="28"/>
          <w:szCs w:val="28"/>
        </w:rPr>
        <w:t>（4）地表水饮用水源一级保护区的水质基本项目限值不得低于GB3838-2002中的Ⅱ类标准，且补充项目和特定项目应满足该标准规定的限值要求。地表水饮用水源二级保护区的水质基本项目限值不得低于GB3838-2002中的Ⅲ类标准，并保证流入一级保护区的水质满足一级保护区水质标准的要求。地表水饮用水源准保护区的水质标准应保证流入二级保护区的水质满足二级保护区水质标准的要求。</w:t>
      </w:r>
    </w:p>
    <w:p w14:paraId="31F9CD7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eastAsia="zh-CN"/>
        </w:rPr>
        <w:t>（</w:t>
      </w:r>
      <w:r>
        <w:rPr>
          <w:rFonts w:hint="eastAsia" w:eastAsia="宋体"/>
          <w:sz w:val="28"/>
          <w:szCs w:val="28"/>
          <w:lang w:val="en-US" w:eastAsia="zh-CN"/>
        </w:rPr>
        <w:t>5</w:t>
      </w:r>
      <w:r>
        <w:rPr>
          <w:rFonts w:hint="eastAsia" w:eastAsia="宋体"/>
          <w:sz w:val="28"/>
          <w:szCs w:val="28"/>
          <w:lang w:eastAsia="zh-CN"/>
        </w:rPr>
        <w:t>）</w:t>
      </w:r>
      <w:r>
        <w:rPr>
          <w:rFonts w:hint="eastAsia" w:eastAsia="宋体"/>
          <w:sz w:val="28"/>
          <w:szCs w:val="28"/>
          <w:lang w:val="en-US" w:eastAsia="zh-CN"/>
        </w:rPr>
        <w:t>本次规划以省人民政府批复范围为重要依据。</w:t>
      </w:r>
    </w:p>
    <w:p w14:paraId="7365A2FC">
      <w:pPr>
        <w:pStyle w:val="5"/>
      </w:pPr>
      <w:bookmarkStart w:id="71" w:name="_Toc36060075"/>
      <w:bookmarkStart w:id="72" w:name="_Toc15146"/>
      <w:r>
        <w:rPr>
          <w:rFonts w:hint="eastAsia"/>
          <w:lang w:val="en-US" w:eastAsia="zh-CN"/>
        </w:rPr>
        <w:t>4.2</w:t>
      </w:r>
      <w:r>
        <w:t>河湖水系水域岸线空间</w:t>
      </w:r>
      <w:bookmarkEnd w:id="71"/>
      <w:bookmarkEnd w:id="72"/>
    </w:p>
    <w:p w14:paraId="450726E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eastAsia="宋体" w:cs="Times New Roman"/>
          <w:sz w:val="28"/>
          <w:szCs w:val="28"/>
          <w:lang w:val="en-US" w:eastAsia="zh-CN"/>
        </w:rPr>
        <w:t>1、河流水域岸线</w:t>
      </w:r>
    </w:p>
    <w:p w14:paraId="2C63871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本次规划按照《水利基础设施空间布局技术大纲》要求，</w:t>
      </w:r>
      <w:r>
        <w:rPr>
          <w:rFonts w:hint="eastAsia" w:eastAsia="宋体" w:cs="Times New Roman"/>
          <w:sz w:val="28"/>
          <w:szCs w:val="28"/>
          <w:lang w:val="en-US" w:eastAsia="zh-CN"/>
        </w:rPr>
        <w:t>结合泽州县已完成的河流水域岸线保护与利用规划成果，</w:t>
      </w:r>
      <w:r>
        <w:rPr>
          <w:rFonts w:hint="default" w:ascii="Times New Roman" w:hAnsi="Times New Roman" w:eastAsia="宋体" w:cs="Times New Roman"/>
          <w:sz w:val="28"/>
          <w:szCs w:val="28"/>
        </w:rPr>
        <w:t>开展</w:t>
      </w:r>
      <w:r>
        <w:rPr>
          <w:rFonts w:hint="default" w:ascii="Times New Roman" w:hAnsi="Times New Roman" w:eastAsia="宋体" w:cs="Times New Roman"/>
          <w:sz w:val="28"/>
          <w:szCs w:val="28"/>
          <w:lang w:val="en-US" w:eastAsia="zh-CN"/>
        </w:rPr>
        <w:t>50</w:t>
      </w:r>
      <w:r>
        <w:rPr>
          <w:rFonts w:hint="default" w:ascii="Times New Roman" w:hAnsi="Times New Roman" w:eastAsia="宋体" w:cs="Times New Roman"/>
          <w:sz w:val="28"/>
          <w:szCs w:val="28"/>
        </w:rPr>
        <w:t>km</w:t>
      </w:r>
      <w:r>
        <w:rPr>
          <w:rFonts w:hint="default" w:ascii="Times New Roman" w:hAnsi="Times New Roman" w:eastAsia="宋体" w:cs="Times New Roman"/>
          <w:sz w:val="28"/>
          <w:szCs w:val="28"/>
          <w:vertAlign w:val="superscript"/>
        </w:rPr>
        <w:t>2</w:t>
      </w:r>
      <w:r>
        <w:rPr>
          <w:rFonts w:hint="default" w:ascii="Times New Roman" w:hAnsi="Times New Roman" w:eastAsia="宋体" w:cs="Times New Roman"/>
          <w:sz w:val="28"/>
          <w:szCs w:val="28"/>
        </w:rPr>
        <w:t>以上</w:t>
      </w:r>
      <w:r>
        <w:rPr>
          <w:rFonts w:hint="default" w:ascii="Times New Roman" w:hAnsi="Times New Roman" w:eastAsia="宋体" w:cs="Times New Roman"/>
          <w:sz w:val="28"/>
          <w:szCs w:val="28"/>
          <w:lang w:eastAsia="zh-CN"/>
        </w:rPr>
        <w:t>县内</w:t>
      </w:r>
      <w:r>
        <w:rPr>
          <w:rFonts w:hint="default" w:ascii="Times New Roman" w:hAnsi="Times New Roman" w:eastAsia="宋体" w:cs="Times New Roman"/>
          <w:sz w:val="28"/>
          <w:szCs w:val="28"/>
        </w:rPr>
        <w:t>河流水域生态岸线划定工作。</w:t>
      </w:r>
    </w:p>
    <w:p w14:paraId="11F17DA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lang w:val="en-US" w:eastAsia="zh-CN"/>
        </w:rPr>
      </w:pPr>
      <w:r>
        <w:rPr>
          <w:rFonts w:hint="default" w:ascii="Times New Roman" w:hAnsi="Times New Roman" w:eastAsia="宋体" w:cs="Times New Roman"/>
          <w:sz w:val="28"/>
          <w:szCs w:val="28"/>
        </w:rPr>
        <w:t>依据山西省国土空间总体规划布局，为有效落实</w:t>
      </w:r>
      <w:r>
        <w:rPr>
          <w:rFonts w:hint="eastAsia" w:eastAsia="宋体" w:cs="Times New Roman"/>
          <w:sz w:val="28"/>
          <w:szCs w:val="28"/>
          <w:lang w:eastAsia="zh-CN"/>
        </w:rPr>
        <w:t>“</w:t>
      </w:r>
      <w:r>
        <w:rPr>
          <w:rFonts w:hint="default" w:ascii="Times New Roman" w:hAnsi="Times New Roman" w:eastAsia="宋体" w:cs="Times New Roman"/>
          <w:sz w:val="28"/>
          <w:szCs w:val="28"/>
        </w:rPr>
        <w:t>多规合一</w:t>
      </w:r>
      <w:r>
        <w:rPr>
          <w:rFonts w:hint="eastAsia" w:eastAsia="宋体" w:cs="Times New Roman"/>
          <w:sz w:val="28"/>
          <w:szCs w:val="28"/>
          <w:lang w:eastAsia="zh-CN"/>
        </w:rPr>
        <w:t>”</w:t>
      </w:r>
      <w:r>
        <w:rPr>
          <w:rFonts w:hint="default" w:ascii="Times New Roman" w:hAnsi="Times New Roman" w:eastAsia="宋体" w:cs="Times New Roman"/>
          <w:sz w:val="28"/>
          <w:szCs w:val="28"/>
        </w:rPr>
        <w:t>要求，形成国土空间开发保护</w:t>
      </w:r>
      <w:r>
        <w:rPr>
          <w:rFonts w:hint="eastAsia" w:eastAsia="宋体" w:cs="Times New Roman"/>
          <w:sz w:val="28"/>
          <w:szCs w:val="28"/>
          <w:lang w:eastAsia="zh-CN"/>
        </w:rPr>
        <w:t>“</w:t>
      </w:r>
      <w:r>
        <w:rPr>
          <w:rFonts w:hint="default" w:ascii="Times New Roman" w:hAnsi="Times New Roman" w:eastAsia="宋体" w:cs="Times New Roman"/>
          <w:sz w:val="28"/>
          <w:szCs w:val="28"/>
        </w:rPr>
        <w:t>一张图</w:t>
      </w:r>
      <w:r>
        <w:rPr>
          <w:rFonts w:hint="eastAsia" w:eastAsia="宋体" w:cs="Times New Roman"/>
          <w:sz w:val="28"/>
          <w:szCs w:val="28"/>
          <w:lang w:eastAsia="zh-CN"/>
        </w:rPr>
        <w:t>”</w:t>
      </w:r>
      <w:r>
        <w:rPr>
          <w:rFonts w:hint="default" w:ascii="Times New Roman" w:hAnsi="Times New Roman" w:eastAsia="宋体" w:cs="Times New Roman"/>
          <w:sz w:val="28"/>
          <w:szCs w:val="28"/>
        </w:rPr>
        <w:t>，</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开展</w:t>
      </w:r>
      <w:r>
        <w:rPr>
          <w:rFonts w:hint="default" w:ascii="Times New Roman" w:hAnsi="Times New Roman" w:eastAsia="宋体" w:cs="Times New Roman"/>
          <w:sz w:val="28"/>
          <w:szCs w:val="28"/>
          <w:lang w:eastAsia="zh-CN"/>
        </w:rPr>
        <w:t>流域面积</w:t>
      </w:r>
      <w:r>
        <w:rPr>
          <w:rFonts w:hint="default" w:ascii="Times New Roman" w:hAnsi="Times New Roman" w:eastAsia="宋体" w:cs="Times New Roman"/>
          <w:sz w:val="28"/>
          <w:szCs w:val="28"/>
          <w:lang w:val="en-US" w:eastAsia="zh-CN"/>
        </w:rPr>
        <w:t>50</w:t>
      </w:r>
      <w:r>
        <w:rPr>
          <w:rFonts w:hint="default" w:ascii="Times New Roman" w:hAnsi="Times New Roman" w:eastAsia="宋体" w:cs="Times New Roman"/>
          <w:sz w:val="28"/>
          <w:szCs w:val="28"/>
        </w:rPr>
        <w:t>km</w:t>
      </w:r>
      <w:r>
        <w:rPr>
          <w:rFonts w:hint="default" w:ascii="Times New Roman" w:hAnsi="Times New Roman" w:eastAsia="宋体" w:cs="Times New Roman"/>
          <w:sz w:val="28"/>
          <w:szCs w:val="28"/>
          <w:vertAlign w:val="superscript"/>
          <w:lang w:val="en-US" w:eastAsia="zh-CN"/>
        </w:rPr>
        <w:t>2</w:t>
      </w:r>
      <w:r>
        <w:rPr>
          <w:rFonts w:hint="default" w:ascii="Times New Roman" w:hAnsi="Times New Roman" w:eastAsia="宋体" w:cs="Times New Roman"/>
          <w:sz w:val="28"/>
          <w:szCs w:val="28"/>
          <w:vertAlign w:val="baseline"/>
          <w:lang w:val="en-US" w:eastAsia="zh-CN"/>
        </w:rPr>
        <w:t>以上</w:t>
      </w:r>
      <w:r>
        <w:rPr>
          <w:rFonts w:hint="default" w:ascii="Times New Roman" w:hAnsi="Times New Roman" w:eastAsia="宋体" w:cs="Times New Roman"/>
          <w:sz w:val="28"/>
          <w:szCs w:val="28"/>
        </w:rPr>
        <w:t>河流的岸线规划编制工作，规划范围包括：</w:t>
      </w:r>
      <w:r>
        <w:rPr>
          <w:rFonts w:hint="eastAsia" w:eastAsia="宋体" w:cs="Times New Roman"/>
          <w:sz w:val="28"/>
          <w:szCs w:val="28"/>
          <w:lang w:val="en-US" w:eastAsia="zh-CN"/>
        </w:rPr>
        <w:t>巴公河、白涧河、北石店河、大箕河、大阳河、犁川河、南村河、卫河、仙神河、逍遥石河、冶底河、郑村河。经统计，泽州县规划岸线总长度410.809km，其中保护区长度92.533km，保留区长度212.59km，控制利用区长度68.295km，开发利用区长度37.391km。</w:t>
      </w:r>
    </w:p>
    <w:p w14:paraId="24328150">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eastAsia="宋体" w:cs="Times New Roman"/>
          <w:sz w:val="28"/>
          <w:szCs w:val="28"/>
          <w:lang w:val="en-US" w:eastAsia="zh-CN"/>
        </w:rPr>
      </w:pPr>
      <w:r>
        <w:rPr>
          <w:rFonts w:hint="eastAsia" w:eastAsia="宋体" w:cs="Times New Roman"/>
          <w:sz w:val="28"/>
          <w:szCs w:val="28"/>
          <w:lang w:val="en-US" w:eastAsia="zh-CN"/>
        </w:rPr>
        <w:t>泽州县河道水域岸线规划成果表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490"/>
        <w:gridCol w:w="1490"/>
        <w:gridCol w:w="1490"/>
        <w:gridCol w:w="1490"/>
        <w:gridCol w:w="1492"/>
      </w:tblGrid>
      <w:tr w14:paraId="6A88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72F4ED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河流名称</w:t>
            </w:r>
          </w:p>
        </w:tc>
        <w:tc>
          <w:tcPr>
            <w:tcW w:w="833" w:type="pct"/>
            <w:vAlign w:val="top"/>
          </w:tcPr>
          <w:p w14:paraId="4FFB20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保护区</w:t>
            </w:r>
          </w:p>
        </w:tc>
        <w:tc>
          <w:tcPr>
            <w:tcW w:w="833" w:type="pct"/>
            <w:vAlign w:val="top"/>
          </w:tcPr>
          <w:p w14:paraId="0EF59F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保留区</w:t>
            </w:r>
          </w:p>
        </w:tc>
        <w:tc>
          <w:tcPr>
            <w:tcW w:w="833" w:type="pct"/>
            <w:vAlign w:val="top"/>
          </w:tcPr>
          <w:p w14:paraId="31D96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控制利用区</w:t>
            </w:r>
          </w:p>
        </w:tc>
        <w:tc>
          <w:tcPr>
            <w:tcW w:w="833" w:type="pct"/>
            <w:vAlign w:val="top"/>
          </w:tcPr>
          <w:p w14:paraId="0CABAC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开发利用区</w:t>
            </w:r>
          </w:p>
        </w:tc>
        <w:tc>
          <w:tcPr>
            <w:tcW w:w="834" w:type="pct"/>
            <w:vAlign w:val="top"/>
          </w:tcPr>
          <w:p w14:paraId="75190A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岸线总长度</w:t>
            </w:r>
          </w:p>
        </w:tc>
      </w:tr>
      <w:tr w14:paraId="1715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59F5B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8"/>
                <w:szCs w:val="28"/>
                <w:vertAlign w:val="baseline"/>
                <w:lang w:val="en-US" w:eastAsia="zh-CN"/>
              </w:rPr>
            </w:pPr>
            <w:r>
              <w:rPr>
                <w:rFonts w:hint="eastAsia" w:eastAsia="宋体" w:cs="Times New Roman"/>
                <w:sz w:val="28"/>
                <w:szCs w:val="28"/>
                <w:vertAlign w:val="baseline"/>
                <w:lang w:val="en-US" w:eastAsia="zh-CN"/>
              </w:rPr>
              <w:t>巴公河</w:t>
            </w:r>
          </w:p>
        </w:tc>
        <w:tc>
          <w:tcPr>
            <w:tcW w:w="833" w:type="pct"/>
            <w:vAlign w:val="top"/>
          </w:tcPr>
          <w:p w14:paraId="49685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70496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13.974</w:t>
            </w:r>
          </w:p>
        </w:tc>
        <w:tc>
          <w:tcPr>
            <w:tcW w:w="833" w:type="pct"/>
            <w:vAlign w:val="top"/>
          </w:tcPr>
          <w:p w14:paraId="5E552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25.062</w:t>
            </w:r>
          </w:p>
        </w:tc>
        <w:tc>
          <w:tcPr>
            <w:tcW w:w="833" w:type="pct"/>
            <w:vAlign w:val="top"/>
          </w:tcPr>
          <w:p w14:paraId="21AE5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3039A3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39.036</w:t>
            </w:r>
          </w:p>
        </w:tc>
      </w:tr>
      <w:tr w14:paraId="7BF1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6A8421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8"/>
                <w:szCs w:val="28"/>
                <w:vertAlign w:val="baseline"/>
                <w:lang w:val="en-US" w:eastAsia="zh-CN"/>
              </w:rPr>
            </w:pPr>
            <w:r>
              <w:rPr>
                <w:rFonts w:hint="eastAsia" w:eastAsia="宋体" w:cs="Times New Roman"/>
                <w:sz w:val="28"/>
                <w:szCs w:val="28"/>
                <w:vertAlign w:val="baseline"/>
                <w:lang w:val="en-US" w:eastAsia="zh-CN"/>
              </w:rPr>
              <w:t>白涧河</w:t>
            </w:r>
          </w:p>
        </w:tc>
        <w:tc>
          <w:tcPr>
            <w:tcW w:w="833" w:type="pct"/>
            <w:vAlign w:val="top"/>
          </w:tcPr>
          <w:p w14:paraId="3EC2A6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4C3047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21.343</w:t>
            </w:r>
          </w:p>
        </w:tc>
        <w:tc>
          <w:tcPr>
            <w:tcW w:w="833" w:type="pct"/>
            <w:vAlign w:val="top"/>
          </w:tcPr>
          <w:p w14:paraId="2FB11F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652A2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18240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21.343</w:t>
            </w:r>
          </w:p>
        </w:tc>
      </w:tr>
      <w:tr w14:paraId="25DA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63F6F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北石店河</w:t>
            </w:r>
          </w:p>
        </w:tc>
        <w:tc>
          <w:tcPr>
            <w:tcW w:w="833" w:type="pct"/>
            <w:vAlign w:val="top"/>
          </w:tcPr>
          <w:p w14:paraId="0E928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5CFF6F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4EB718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9.044</w:t>
            </w:r>
          </w:p>
        </w:tc>
        <w:tc>
          <w:tcPr>
            <w:tcW w:w="833" w:type="pct"/>
            <w:vAlign w:val="top"/>
          </w:tcPr>
          <w:p w14:paraId="6D49E0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11.367</w:t>
            </w:r>
          </w:p>
        </w:tc>
        <w:tc>
          <w:tcPr>
            <w:tcW w:w="834" w:type="pct"/>
            <w:vAlign w:val="top"/>
          </w:tcPr>
          <w:p w14:paraId="7C3C80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20.411</w:t>
            </w:r>
          </w:p>
        </w:tc>
      </w:tr>
      <w:tr w14:paraId="2FBC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1D5A22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大箕河</w:t>
            </w:r>
          </w:p>
        </w:tc>
        <w:tc>
          <w:tcPr>
            <w:tcW w:w="833" w:type="pct"/>
            <w:vAlign w:val="top"/>
          </w:tcPr>
          <w:p w14:paraId="1D725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6AA599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19.444</w:t>
            </w:r>
          </w:p>
        </w:tc>
        <w:tc>
          <w:tcPr>
            <w:tcW w:w="833" w:type="pct"/>
            <w:vAlign w:val="top"/>
          </w:tcPr>
          <w:p w14:paraId="34E2D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7B321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2.161</w:t>
            </w:r>
          </w:p>
        </w:tc>
        <w:tc>
          <w:tcPr>
            <w:tcW w:w="834" w:type="pct"/>
            <w:vAlign w:val="top"/>
          </w:tcPr>
          <w:p w14:paraId="1688B1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21.605</w:t>
            </w:r>
          </w:p>
        </w:tc>
      </w:tr>
      <w:tr w14:paraId="1863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377DF1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大阳河</w:t>
            </w:r>
          </w:p>
        </w:tc>
        <w:tc>
          <w:tcPr>
            <w:tcW w:w="833" w:type="pct"/>
            <w:vAlign w:val="top"/>
          </w:tcPr>
          <w:p w14:paraId="53A4F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0717F3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5B658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15.059</w:t>
            </w:r>
          </w:p>
        </w:tc>
        <w:tc>
          <w:tcPr>
            <w:tcW w:w="833" w:type="pct"/>
            <w:vAlign w:val="top"/>
          </w:tcPr>
          <w:p w14:paraId="6CFB4E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4.541</w:t>
            </w:r>
          </w:p>
        </w:tc>
        <w:tc>
          <w:tcPr>
            <w:tcW w:w="834" w:type="pct"/>
            <w:vAlign w:val="top"/>
          </w:tcPr>
          <w:p w14:paraId="6AB372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19.6</w:t>
            </w:r>
          </w:p>
        </w:tc>
      </w:tr>
      <w:tr w14:paraId="1B37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24B86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犁川河</w:t>
            </w:r>
          </w:p>
        </w:tc>
        <w:tc>
          <w:tcPr>
            <w:tcW w:w="833" w:type="pct"/>
            <w:vAlign w:val="top"/>
          </w:tcPr>
          <w:p w14:paraId="727E5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34C189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56.693</w:t>
            </w:r>
          </w:p>
        </w:tc>
        <w:tc>
          <w:tcPr>
            <w:tcW w:w="833" w:type="pct"/>
            <w:vAlign w:val="top"/>
          </w:tcPr>
          <w:p w14:paraId="41493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7.155</w:t>
            </w:r>
          </w:p>
        </w:tc>
        <w:tc>
          <w:tcPr>
            <w:tcW w:w="833" w:type="pct"/>
            <w:vAlign w:val="top"/>
          </w:tcPr>
          <w:p w14:paraId="7D642F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26FD4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63.848</w:t>
            </w:r>
          </w:p>
        </w:tc>
      </w:tr>
      <w:tr w14:paraId="5D1E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0070D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南村河</w:t>
            </w:r>
          </w:p>
        </w:tc>
        <w:tc>
          <w:tcPr>
            <w:tcW w:w="833" w:type="pct"/>
            <w:vAlign w:val="top"/>
          </w:tcPr>
          <w:p w14:paraId="244DA2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8"/>
                <w:szCs w:val="28"/>
                <w:vertAlign w:val="baseline"/>
                <w:lang w:val="en-US" w:eastAsia="zh-CN"/>
              </w:rPr>
            </w:pPr>
            <w:r>
              <w:rPr>
                <w:rFonts w:hint="eastAsia" w:eastAsia="宋体" w:cs="Times New Roman"/>
                <w:sz w:val="28"/>
                <w:szCs w:val="28"/>
                <w:vertAlign w:val="baseline"/>
                <w:lang w:val="en-US" w:eastAsia="zh-CN"/>
              </w:rPr>
              <w:t>2.213</w:t>
            </w:r>
          </w:p>
        </w:tc>
        <w:tc>
          <w:tcPr>
            <w:tcW w:w="833" w:type="pct"/>
            <w:vAlign w:val="top"/>
          </w:tcPr>
          <w:p w14:paraId="6664CD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15.335</w:t>
            </w:r>
          </w:p>
        </w:tc>
        <w:tc>
          <w:tcPr>
            <w:tcW w:w="833" w:type="pct"/>
            <w:vAlign w:val="top"/>
          </w:tcPr>
          <w:p w14:paraId="29C25E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9.965</w:t>
            </w:r>
          </w:p>
        </w:tc>
        <w:tc>
          <w:tcPr>
            <w:tcW w:w="833" w:type="pct"/>
            <w:vAlign w:val="top"/>
          </w:tcPr>
          <w:p w14:paraId="2D0E8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10.303</w:t>
            </w:r>
          </w:p>
        </w:tc>
        <w:tc>
          <w:tcPr>
            <w:tcW w:w="834" w:type="pct"/>
            <w:vAlign w:val="top"/>
          </w:tcPr>
          <w:p w14:paraId="414C4B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37.816</w:t>
            </w:r>
          </w:p>
        </w:tc>
      </w:tr>
      <w:tr w14:paraId="1BBF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0B0D38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卫河</w:t>
            </w:r>
          </w:p>
        </w:tc>
        <w:tc>
          <w:tcPr>
            <w:tcW w:w="833" w:type="pct"/>
            <w:vAlign w:val="top"/>
          </w:tcPr>
          <w:p w14:paraId="74D90D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5CD05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28.989</w:t>
            </w:r>
          </w:p>
        </w:tc>
        <w:tc>
          <w:tcPr>
            <w:tcW w:w="833" w:type="pct"/>
            <w:vAlign w:val="top"/>
          </w:tcPr>
          <w:p w14:paraId="40721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56D3C3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117F0E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28.989</w:t>
            </w:r>
          </w:p>
        </w:tc>
      </w:tr>
      <w:tr w14:paraId="028E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4DB8D4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仙神河</w:t>
            </w:r>
          </w:p>
        </w:tc>
        <w:tc>
          <w:tcPr>
            <w:tcW w:w="833" w:type="pct"/>
            <w:vAlign w:val="top"/>
          </w:tcPr>
          <w:p w14:paraId="7D60C1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40.08</w:t>
            </w:r>
          </w:p>
        </w:tc>
        <w:tc>
          <w:tcPr>
            <w:tcW w:w="833" w:type="pct"/>
            <w:vAlign w:val="top"/>
          </w:tcPr>
          <w:p w14:paraId="38F62E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0FA8A3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48145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5649B0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40.08</w:t>
            </w:r>
          </w:p>
        </w:tc>
      </w:tr>
      <w:tr w14:paraId="1D4E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36320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逍遥石河</w:t>
            </w:r>
          </w:p>
        </w:tc>
        <w:tc>
          <w:tcPr>
            <w:tcW w:w="833" w:type="pct"/>
            <w:vAlign w:val="top"/>
          </w:tcPr>
          <w:p w14:paraId="1F4048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50.24</w:t>
            </w:r>
          </w:p>
        </w:tc>
        <w:tc>
          <w:tcPr>
            <w:tcW w:w="833" w:type="pct"/>
            <w:vAlign w:val="top"/>
          </w:tcPr>
          <w:p w14:paraId="1E1549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18A425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7DE054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7D761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50.24</w:t>
            </w:r>
          </w:p>
        </w:tc>
      </w:tr>
      <w:tr w14:paraId="6571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57DFB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冶底河</w:t>
            </w:r>
          </w:p>
        </w:tc>
        <w:tc>
          <w:tcPr>
            <w:tcW w:w="833" w:type="pct"/>
            <w:vAlign w:val="top"/>
          </w:tcPr>
          <w:p w14:paraId="67E84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5DA65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47.002</w:t>
            </w:r>
          </w:p>
        </w:tc>
        <w:tc>
          <w:tcPr>
            <w:tcW w:w="833" w:type="pct"/>
            <w:vAlign w:val="top"/>
          </w:tcPr>
          <w:p w14:paraId="4297D7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32A63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9.019</w:t>
            </w:r>
          </w:p>
        </w:tc>
        <w:tc>
          <w:tcPr>
            <w:tcW w:w="834" w:type="pct"/>
            <w:vAlign w:val="top"/>
          </w:tcPr>
          <w:p w14:paraId="5B0DC7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8"/>
                <w:szCs w:val="28"/>
                <w:vertAlign w:val="baseline"/>
                <w:lang w:val="en-US" w:eastAsia="zh-CN"/>
              </w:rPr>
            </w:pPr>
            <w:r>
              <w:rPr>
                <w:rFonts w:hint="eastAsia" w:eastAsia="宋体" w:cs="Times New Roman"/>
                <w:sz w:val="28"/>
                <w:szCs w:val="28"/>
                <w:vertAlign w:val="baseline"/>
                <w:lang w:val="en-US" w:eastAsia="zh-CN"/>
              </w:rPr>
              <w:t>56.021</w:t>
            </w:r>
          </w:p>
        </w:tc>
      </w:tr>
      <w:tr w14:paraId="1C24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3" w:type="pct"/>
            <w:vAlign w:val="top"/>
          </w:tcPr>
          <w:p w14:paraId="6C85C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郑村河</w:t>
            </w:r>
          </w:p>
        </w:tc>
        <w:tc>
          <w:tcPr>
            <w:tcW w:w="833" w:type="pct"/>
            <w:vAlign w:val="top"/>
          </w:tcPr>
          <w:p w14:paraId="635500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3" w:type="pct"/>
            <w:vAlign w:val="top"/>
          </w:tcPr>
          <w:p w14:paraId="6C34E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9.81</w:t>
            </w:r>
          </w:p>
        </w:tc>
        <w:tc>
          <w:tcPr>
            <w:tcW w:w="833" w:type="pct"/>
            <w:vAlign w:val="top"/>
          </w:tcPr>
          <w:p w14:paraId="7168F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2.01</w:t>
            </w:r>
          </w:p>
        </w:tc>
        <w:tc>
          <w:tcPr>
            <w:tcW w:w="833" w:type="pct"/>
            <w:vAlign w:val="top"/>
          </w:tcPr>
          <w:p w14:paraId="7DAB8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w:t>
            </w:r>
          </w:p>
        </w:tc>
        <w:tc>
          <w:tcPr>
            <w:tcW w:w="834" w:type="pct"/>
            <w:vAlign w:val="top"/>
          </w:tcPr>
          <w:p w14:paraId="4B1FC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11.82</w:t>
            </w:r>
          </w:p>
        </w:tc>
      </w:tr>
    </w:tbl>
    <w:p w14:paraId="05C2564A">
      <w:pPr>
        <w:pStyle w:val="2"/>
        <w:numPr>
          <w:ilvl w:val="0"/>
          <w:numId w:val="0"/>
        </w:numPr>
        <w:ind w:left="0" w:leftChars="0" w:firstLine="560" w:firstLineChars="200"/>
        <w:rPr>
          <w:rFonts w:hint="default"/>
          <w:lang w:val="en-US" w:eastAsia="zh-CN"/>
        </w:rPr>
      </w:pPr>
      <w:r>
        <w:rPr>
          <w:rFonts w:hint="eastAsia" w:cs="Times New Roman"/>
          <w:kern w:val="2"/>
          <w:sz w:val="28"/>
          <w:szCs w:val="28"/>
          <w:lang w:val="en-US" w:eastAsia="zh-CN" w:bidi="ar-SA"/>
        </w:rPr>
        <w:t>2</w:t>
      </w:r>
      <w:r>
        <w:rPr>
          <w:rFonts w:hint="eastAsia" w:ascii="Times New Roman" w:hAnsi="Times New Roman" w:eastAsia="宋体" w:cs="Times New Roman"/>
          <w:kern w:val="2"/>
          <w:sz w:val="28"/>
          <w:szCs w:val="28"/>
          <w:lang w:val="en-US" w:eastAsia="zh-CN" w:bidi="ar-SA"/>
        </w:rPr>
        <w:t>、</w:t>
      </w:r>
      <w:r>
        <w:rPr>
          <w:rFonts w:hint="eastAsia"/>
          <w:lang w:val="en-US" w:eastAsia="zh-CN"/>
        </w:rPr>
        <w:t>河道治导线及管理范围划界线</w:t>
      </w:r>
    </w:p>
    <w:p w14:paraId="189B720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本次规划按照《水利基础设施空间布局技术大纲》要求，</w:t>
      </w:r>
      <w:r>
        <w:rPr>
          <w:rFonts w:hint="eastAsia" w:eastAsia="宋体" w:cs="Times New Roman"/>
          <w:sz w:val="28"/>
          <w:szCs w:val="28"/>
          <w:lang w:val="en-US" w:eastAsia="zh-CN"/>
        </w:rPr>
        <w:t>结合泽州县已完成的河道治导线规划及管理范围划界成果，</w:t>
      </w:r>
      <w:r>
        <w:rPr>
          <w:rFonts w:hint="default" w:ascii="Times New Roman" w:hAnsi="Times New Roman" w:eastAsia="宋体" w:cs="Times New Roman"/>
          <w:sz w:val="28"/>
          <w:szCs w:val="28"/>
        </w:rPr>
        <w:t>开展</w:t>
      </w:r>
      <w:r>
        <w:rPr>
          <w:rFonts w:hint="default" w:ascii="Times New Roman" w:hAnsi="Times New Roman" w:eastAsia="宋体" w:cs="Times New Roman"/>
          <w:sz w:val="28"/>
          <w:szCs w:val="28"/>
          <w:lang w:val="en-US" w:eastAsia="zh-CN"/>
        </w:rPr>
        <w:t>50</w:t>
      </w:r>
      <w:r>
        <w:rPr>
          <w:rFonts w:hint="default" w:ascii="Times New Roman" w:hAnsi="Times New Roman" w:eastAsia="宋体" w:cs="Times New Roman"/>
          <w:sz w:val="28"/>
          <w:szCs w:val="28"/>
        </w:rPr>
        <w:t>km</w:t>
      </w:r>
      <w:r>
        <w:rPr>
          <w:rFonts w:hint="default" w:ascii="Times New Roman" w:hAnsi="Times New Roman" w:eastAsia="宋体" w:cs="Times New Roman"/>
          <w:sz w:val="28"/>
          <w:szCs w:val="28"/>
          <w:vertAlign w:val="superscript"/>
        </w:rPr>
        <w:t>2</w:t>
      </w:r>
      <w:r>
        <w:rPr>
          <w:rFonts w:hint="default" w:ascii="Times New Roman" w:hAnsi="Times New Roman" w:eastAsia="宋体" w:cs="Times New Roman"/>
          <w:sz w:val="28"/>
          <w:szCs w:val="28"/>
        </w:rPr>
        <w:t>以上</w:t>
      </w:r>
      <w:r>
        <w:rPr>
          <w:rFonts w:hint="default" w:ascii="Times New Roman" w:hAnsi="Times New Roman" w:eastAsia="宋体" w:cs="Times New Roman"/>
          <w:sz w:val="28"/>
          <w:szCs w:val="28"/>
          <w:lang w:eastAsia="zh-CN"/>
        </w:rPr>
        <w:t>县内</w:t>
      </w:r>
      <w:r>
        <w:rPr>
          <w:rFonts w:hint="default" w:ascii="Times New Roman" w:hAnsi="Times New Roman" w:eastAsia="宋体" w:cs="Times New Roman"/>
          <w:sz w:val="28"/>
          <w:szCs w:val="28"/>
        </w:rPr>
        <w:t>河流</w:t>
      </w:r>
      <w:r>
        <w:rPr>
          <w:rFonts w:hint="eastAsia" w:eastAsia="宋体" w:cs="Times New Roman"/>
          <w:sz w:val="28"/>
          <w:szCs w:val="28"/>
          <w:lang w:val="en-US" w:eastAsia="zh-CN"/>
        </w:rPr>
        <w:t>治导线范围划定</w:t>
      </w:r>
      <w:r>
        <w:rPr>
          <w:rFonts w:hint="default" w:ascii="Times New Roman" w:hAnsi="Times New Roman" w:eastAsia="宋体" w:cs="Times New Roman"/>
          <w:sz w:val="28"/>
          <w:szCs w:val="28"/>
        </w:rPr>
        <w:t>工作。</w:t>
      </w:r>
    </w:p>
    <w:p w14:paraId="6C33B7F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lang w:val="en-US" w:eastAsia="zh-CN"/>
        </w:rPr>
      </w:pPr>
      <w:r>
        <w:rPr>
          <w:rFonts w:hint="default" w:ascii="Times New Roman" w:hAnsi="Times New Roman" w:eastAsia="宋体" w:cs="Times New Roman"/>
          <w:sz w:val="28"/>
          <w:szCs w:val="28"/>
        </w:rPr>
        <w:t>依据山西省国土空间总体规划布局，为有效落实</w:t>
      </w:r>
      <w:r>
        <w:rPr>
          <w:rFonts w:hint="eastAsia" w:eastAsia="宋体" w:cs="Times New Roman"/>
          <w:sz w:val="28"/>
          <w:szCs w:val="28"/>
          <w:lang w:eastAsia="zh-CN"/>
        </w:rPr>
        <w:t>“</w:t>
      </w:r>
      <w:r>
        <w:rPr>
          <w:rFonts w:hint="default" w:ascii="Times New Roman" w:hAnsi="Times New Roman" w:eastAsia="宋体" w:cs="Times New Roman"/>
          <w:sz w:val="28"/>
          <w:szCs w:val="28"/>
        </w:rPr>
        <w:t>多规合一</w:t>
      </w:r>
      <w:r>
        <w:rPr>
          <w:rFonts w:hint="eastAsia" w:eastAsia="宋体" w:cs="Times New Roman"/>
          <w:sz w:val="28"/>
          <w:szCs w:val="28"/>
          <w:lang w:eastAsia="zh-CN"/>
        </w:rPr>
        <w:t>”</w:t>
      </w:r>
      <w:r>
        <w:rPr>
          <w:rFonts w:hint="default" w:ascii="Times New Roman" w:hAnsi="Times New Roman" w:eastAsia="宋体" w:cs="Times New Roman"/>
          <w:sz w:val="28"/>
          <w:szCs w:val="28"/>
        </w:rPr>
        <w:t>要求，形成国土空间开发保护</w:t>
      </w:r>
      <w:r>
        <w:rPr>
          <w:rFonts w:hint="eastAsia" w:eastAsia="宋体" w:cs="Times New Roman"/>
          <w:sz w:val="28"/>
          <w:szCs w:val="28"/>
          <w:lang w:eastAsia="zh-CN"/>
        </w:rPr>
        <w:t>“</w:t>
      </w:r>
      <w:r>
        <w:rPr>
          <w:rFonts w:hint="default" w:ascii="Times New Roman" w:hAnsi="Times New Roman" w:eastAsia="宋体" w:cs="Times New Roman"/>
          <w:sz w:val="28"/>
          <w:szCs w:val="28"/>
        </w:rPr>
        <w:t>一张图</w:t>
      </w:r>
      <w:r>
        <w:rPr>
          <w:rFonts w:hint="eastAsia" w:eastAsia="宋体" w:cs="Times New Roman"/>
          <w:sz w:val="28"/>
          <w:szCs w:val="28"/>
          <w:lang w:eastAsia="zh-CN"/>
        </w:rPr>
        <w:t>”</w:t>
      </w:r>
      <w:r>
        <w:rPr>
          <w:rFonts w:hint="default" w:ascii="Times New Roman" w:hAnsi="Times New Roman" w:eastAsia="宋体" w:cs="Times New Roman"/>
          <w:sz w:val="28"/>
          <w:szCs w:val="28"/>
        </w:rPr>
        <w:t>，</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开展</w:t>
      </w:r>
      <w:r>
        <w:rPr>
          <w:rFonts w:hint="default" w:ascii="Times New Roman" w:hAnsi="Times New Roman" w:eastAsia="宋体" w:cs="Times New Roman"/>
          <w:sz w:val="28"/>
          <w:szCs w:val="28"/>
          <w:lang w:eastAsia="zh-CN"/>
        </w:rPr>
        <w:t>流域面积</w:t>
      </w:r>
      <w:r>
        <w:rPr>
          <w:rFonts w:hint="default" w:ascii="Times New Roman" w:hAnsi="Times New Roman" w:eastAsia="宋体" w:cs="Times New Roman"/>
          <w:sz w:val="28"/>
          <w:szCs w:val="28"/>
          <w:lang w:val="en-US" w:eastAsia="zh-CN"/>
        </w:rPr>
        <w:t>50</w:t>
      </w:r>
      <w:r>
        <w:rPr>
          <w:rFonts w:hint="default" w:ascii="Times New Roman" w:hAnsi="Times New Roman" w:eastAsia="宋体" w:cs="Times New Roman"/>
          <w:sz w:val="28"/>
          <w:szCs w:val="28"/>
        </w:rPr>
        <w:t>km</w:t>
      </w:r>
      <w:r>
        <w:rPr>
          <w:rFonts w:hint="default" w:ascii="Times New Roman" w:hAnsi="Times New Roman" w:eastAsia="宋体" w:cs="Times New Roman"/>
          <w:sz w:val="28"/>
          <w:szCs w:val="28"/>
          <w:vertAlign w:val="superscript"/>
          <w:lang w:val="en-US" w:eastAsia="zh-CN"/>
        </w:rPr>
        <w:t>2</w:t>
      </w:r>
      <w:r>
        <w:rPr>
          <w:rFonts w:hint="default" w:ascii="Times New Roman" w:hAnsi="Times New Roman" w:eastAsia="宋体" w:cs="Times New Roman"/>
          <w:sz w:val="28"/>
          <w:szCs w:val="28"/>
          <w:vertAlign w:val="baseline"/>
          <w:lang w:val="en-US" w:eastAsia="zh-CN"/>
        </w:rPr>
        <w:t>以上</w:t>
      </w:r>
      <w:r>
        <w:rPr>
          <w:rFonts w:hint="default" w:ascii="Times New Roman" w:hAnsi="Times New Roman" w:eastAsia="宋体" w:cs="Times New Roman"/>
          <w:sz w:val="28"/>
          <w:szCs w:val="28"/>
        </w:rPr>
        <w:t>河流的</w:t>
      </w:r>
      <w:r>
        <w:rPr>
          <w:rFonts w:hint="eastAsia" w:eastAsia="宋体" w:cs="Times New Roman"/>
          <w:sz w:val="28"/>
          <w:szCs w:val="28"/>
          <w:lang w:val="en-US" w:eastAsia="zh-CN"/>
        </w:rPr>
        <w:t>治导线规划</w:t>
      </w:r>
      <w:r>
        <w:rPr>
          <w:rFonts w:hint="default" w:ascii="Times New Roman" w:hAnsi="Times New Roman" w:eastAsia="宋体" w:cs="Times New Roman"/>
          <w:sz w:val="28"/>
          <w:szCs w:val="28"/>
        </w:rPr>
        <w:t>工作，规划范围包括：</w:t>
      </w:r>
      <w:r>
        <w:rPr>
          <w:rFonts w:hint="eastAsia" w:eastAsia="宋体" w:cs="Times New Roman"/>
          <w:sz w:val="28"/>
          <w:szCs w:val="28"/>
          <w:lang w:val="en-US" w:eastAsia="zh-CN"/>
        </w:rPr>
        <w:t>巴公河、白涧河、北石店河、大箕河、大阳河、犁川河、南村河、卫河、仙神河、逍遥石河、冶底河、郑村河。经统计，泽州县规划治导线范围内河道总面积为19.755km</w:t>
      </w:r>
      <w:r>
        <w:rPr>
          <w:rFonts w:hint="eastAsia" w:eastAsia="宋体" w:cs="Times New Roman"/>
          <w:sz w:val="28"/>
          <w:szCs w:val="28"/>
          <w:vertAlign w:val="superscript"/>
          <w:lang w:val="en-US" w:eastAsia="zh-CN"/>
        </w:rPr>
        <w:t>2</w:t>
      </w:r>
      <w:r>
        <w:rPr>
          <w:rFonts w:hint="eastAsia" w:eastAsia="宋体" w:cs="Times New Roman"/>
          <w:sz w:val="28"/>
          <w:szCs w:val="28"/>
          <w:lang w:val="en-US" w:eastAsia="zh-CN"/>
        </w:rPr>
        <w:t>，河道管理范围面积为32.569km</w:t>
      </w:r>
      <w:r>
        <w:rPr>
          <w:rFonts w:hint="eastAsia" w:eastAsia="宋体" w:cs="Times New Roman"/>
          <w:sz w:val="28"/>
          <w:szCs w:val="28"/>
          <w:vertAlign w:val="superscript"/>
          <w:lang w:val="en-US" w:eastAsia="zh-CN"/>
        </w:rPr>
        <w:t>2</w:t>
      </w:r>
      <w:r>
        <w:rPr>
          <w:rFonts w:hint="eastAsia" w:eastAsia="宋体" w:cs="Times New Roman"/>
          <w:sz w:val="28"/>
          <w:szCs w:val="28"/>
          <w:lang w:val="en-US" w:eastAsia="zh-CN"/>
        </w:rPr>
        <w:t>。</w:t>
      </w:r>
    </w:p>
    <w:p w14:paraId="76E5F20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eastAsia="宋体" w:cs="Times New Roman"/>
          <w:sz w:val="28"/>
          <w:szCs w:val="28"/>
          <w:lang w:val="en-US" w:eastAsia="zh-CN"/>
        </w:rPr>
      </w:pPr>
      <w:r>
        <w:rPr>
          <w:rFonts w:hint="eastAsia" w:eastAsia="宋体" w:cs="Times New Roman"/>
          <w:sz w:val="28"/>
          <w:szCs w:val="28"/>
          <w:lang w:val="en-US" w:eastAsia="zh-CN"/>
        </w:rPr>
        <w:t>泽州县河道治导线规划及管理范围划界成果表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1"/>
        <w:gridCol w:w="2982"/>
        <w:gridCol w:w="2982"/>
      </w:tblGrid>
      <w:tr w14:paraId="36F7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576419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河流名称</w:t>
            </w:r>
          </w:p>
        </w:tc>
        <w:tc>
          <w:tcPr>
            <w:tcW w:w="1666" w:type="pct"/>
            <w:vAlign w:val="top"/>
          </w:tcPr>
          <w:p w14:paraId="3429ED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水域面积（km</w:t>
            </w:r>
            <w:r>
              <w:rPr>
                <w:rFonts w:hint="eastAsia" w:eastAsia="宋体" w:cs="Times New Roman"/>
                <w:sz w:val="28"/>
                <w:szCs w:val="28"/>
                <w:vertAlign w:val="superscript"/>
                <w:lang w:val="en-US" w:eastAsia="zh-CN"/>
              </w:rPr>
              <w:t>2</w:t>
            </w:r>
            <w:r>
              <w:rPr>
                <w:rFonts w:hint="eastAsia" w:eastAsia="宋体" w:cs="Times New Roman"/>
                <w:sz w:val="28"/>
                <w:szCs w:val="28"/>
                <w:vertAlign w:val="baseline"/>
                <w:lang w:val="en-US" w:eastAsia="zh-CN"/>
              </w:rPr>
              <w:t>）</w:t>
            </w:r>
          </w:p>
        </w:tc>
        <w:tc>
          <w:tcPr>
            <w:tcW w:w="1666" w:type="pct"/>
            <w:vAlign w:val="top"/>
          </w:tcPr>
          <w:p w14:paraId="35AD2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管理范围面积（km</w:t>
            </w:r>
            <w:r>
              <w:rPr>
                <w:rFonts w:hint="eastAsia" w:eastAsia="宋体" w:cs="Times New Roman"/>
                <w:sz w:val="28"/>
                <w:szCs w:val="28"/>
                <w:vertAlign w:val="superscript"/>
                <w:lang w:val="en-US" w:eastAsia="zh-CN"/>
              </w:rPr>
              <w:t>2</w:t>
            </w:r>
            <w:r>
              <w:rPr>
                <w:rFonts w:hint="eastAsia" w:eastAsia="宋体" w:cs="Times New Roman"/>
                <w:sz w:val="28"/>
                <w:szCs w:val="28"/>
                <w:vertAlign w:val="baseline"/>
                <w:lang w:val="en-US" w:eastAsia="zh-CN"/>
              </w:rPr>
              <w:t>）</w:t>
            </w:r>
          </w:p>
        </w:tc>
      </w:tr>
      <w:tr w14:paraId="2E99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27EC51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8"/>
                <w:szCs w:val="28"/>
                <w:vertAlign w:val="baseline"/>
                <w:lang w:val="en-US" w:eastAsia="zh-CN"/>
              </w:rPr>
            </w:pPr>
            <w:r>
              <w:rPr>
                <w:rFonts w:hint="eastAsia" w:eastAsia="宋体" w:cs="Times New Roman"/>
                <w:sz w:val="28"/>
                <w:szCs w:val="28"/>
                <w:vertAlign w:val="baseline"/>
                <w:lang w:val="en-US" w:eastAsia="zh-CN"/>
              </w:rPr>
              <w:t>巴公河</w:t>
            </w:r>
          </w:p>
        </w:tc>
        <w:tc>
          <w:tcPr>
            <w:tcW w:w="1666" w:type="pct"/>
            <w:vAlign w:val="top"/>
          </w:tcPr>
          <w:p w14:paraId="350FCA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0.887</w:t>
            </w:r>
          </w:p>
        </w:tc>
        <w:tc>
          <w:tcPr>
            <w:tcW w:w="1666" w:type="pct"/>
            <w:vAlign w:val="top"/>
          </w:tcPr>
          <w:p w14:paraId="4037B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1.035</w:t>
            </w:r>
          </w:p>
        </w:tc>
      </w:tr>
      <w:tr w14:paraId="1EB8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1B27FD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z w:val="28"/>
                <w:szCs w:val="28"/>
                <w:vertAlign w:val="baseline"/>
                <w:lang w:val="en-US" w:eastAsia="zh-CN"/>
              </w:rPr>
            </w:pPr>
            <w:r>
              <w:rPr>
                <w:rFonts w:hint="eastAsia" w:eastAsia="宋体" w:cs="Times New Roman"/>
                <w:sz w:val="28"/>
                <w:szCs w:val="28"/>
                <w:vertAlign w:val="baseline"/>
                <w:lang w:val="en-US" w:eastAsia="zh-CN"/>
              </w:rPr>
              <w:t>白涧河</w:t>
            </w:r>
          </w:p>
        </w:tc>
        <w:tc>
          <w:tcPr>
            <w:tcW w:w="1666" w:type="pct"/>
            <w:vAlign w:val="top"/>
          </w:tcPr>
          <w:p w14:paraId="39983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0.152</w:t>
            </w:r>
          </w:p>
        </w:tc>
        <w:tc>
          <w:tcPr>
            <w:tcW w:w="1666" w:type="pct"/>
            <w:vAlign w:val="top"/>
          </w:tcPr>
          <w:p w14:paraId="0FCBE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0.175</w:t>
            </w:r>
          </w:p>
        </w:tc>
      </w:tr>
      <w:tr w14:paraId="7753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6CB127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北石店河</w:t>
            </w:r>
          </w:p>
        </w:tc>
        <w:tc>
          <w:tcPr>
            <w:tcW w:w="1666" w:type="pct"/>
            <w:vAlign w:val="top"/>
          </w:tcPr>
          <w:p w14:paraId="5D0CC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0.354</w:t>
            </w:r>
          </w:p>
        </w:tc>
        <w:tc>
          <w:tcPr>
            <w:tcW w:w="1666" w:type="pct"/>
            <w:vAlign w:val="top"/>
          </w:tcPr>
          <w:p w14:paraId="5FE1AA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0.529</w:t>
            </w:r>
          </w:p>
        </w:tc>
      </w:tr>
      <w:tr w14:paraId="19FE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09CA1E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大箕河</w:t>
            </w:r>
          </w:p>
        </w:tc>
        <w:tc>
          <w:tcPr>
            <w:tcW w:w="1666" w:type="pct"/>
            <w:vAlign w:val="top"/>
          </w:tcPr>
          <w:p w14:paraId="03613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0.294</w:t>
            </w:r>
          </w:p>
        </w:tc>
        <w:tc>
          <w:tcPr>
            <w:tcW w:w="1666" w:type="pct"/>
            <w:vAlign w:val="top"/>
          </w:tcPr>
          <w:p w14:paraId="0A2FFA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0.295</w:t>
            </w:r>
          </w:p>
        </w:tc>
      </w:tr>
      <w:tr w14:paraId="10AE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7D7A1C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大阳河</w:t>
            </w:r>
          </w:p>
        </w:tc>
        <w:tc>
          <w:tcPr>
            <w:tcW w:w="1666" w:type="pct"/>
            <w:vAlign w:val="top"/>
          </w:tcPr>
          <w:p w14:paraId="76299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0.644</w:t>
            </w:r>
          </w:p>
        </w:tc>
        <w:tc>
          <w:tcPr>
            <w:tcW w:w="1666" w:type="pct"/>
            <w:vAlign w:val="top"/>
          </w:tcPr>
          <w:p w14:paraId="5C660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0.650</w:t>
            </w:r>
          </w:p>
        </w:tc>
      </w:tr>
      <w:tr w14:paraId="4DDD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51349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犁川河</w:t>
            </w:r>
          </w:p>
        </w:tc>
        <w:tc>
          <w:tcPr>
            <w:tcW w:w="1666" w:type="pct"/>
            <w:vAlign w:val="top"/>
          </w:tcPr>
          <w:p w14:paraId="4BE80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1.252</w:t>
            </w:r>
          </w:p>
        </w:tc>
        <w:tc>
          <w:tcPr>
            <w:tcW w:w="1666" w:type="pct"/>
            <w:vAlign w:val="top"/>
          </w:tcPr>
          <w:p w14:paraId="2BC6E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1.252</w:t>
            </w:r>
          </w:p>
        </w:tc>
      </w:tr>
      <w:tr w14:paraId="5539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41B97E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南村河</w:t>
            </w:r>
          </w:p>
        </w:tc>
        <w:tc>
          <w:tcPr>
            <w:tcW w:w="1666" w:type="pct"/>
            <w:vAlign w:val="top"/>
          </w:tcPr>
          <w:p w14:paraId="4C3113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0.928</w:t>
            </w:r>
          </w:p>
        </w:tc>
        <w:tc>
          <w:tcPr>
            <w:tcW w:w="1666" w:type="pct"/>
            <w:vAlign w:val="top"/>
          </w:tcPr>
          <w:p w14:paraId="4D34D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0.949</w:t>
            </w:r>
          </w:p>
        </w:tc>
      </w:tr>
      <w:tr w14:paraId="39446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68570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卫河</w:t>
            </w:r>
          </w:p>
        </w:tc>
        <w:tc>
          <w:tcPr>
            <w:tcW w:w="1666" w:type="pct"/>
            <w:vAlign w:val="top"/>
          </w:tcPr>
          <w:p w14:paraId="361EF4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0.258</w:t>
            </w:r>
          </w:p>
        </w:tc>
        <w:tc>
          <w:tcPr>
            <w:tcW w:w="1666" w:type="pct"/>
            <w:vAlign w:val="top"/>
          </w:tcPr>
          <w:p w14:paraId="3F7E93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0.589</w:t>
            </w:r>
          </w:p>
        </w:tc>
      </w:tr>
      <w:tr w14:paraId="084A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5C651F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仙神河</w:t>
            </w:r>
          </w:p>
        </w:tc>
        <w:tc>
          <w:tcPr>
            <w:tcW w:w="1666" w:type="pct"/>
            <w:vAlign w:val="top"/>
          </w:tcPr>
          <w:p w14:paraId="25546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0.435</w:t>
            </w:r>
          </w:p>
        </w:tc>
        <w:tc>
          <w:tcPr>
            <w:tcW w:w="1666" w:type="pct"/>
            <w:vAlign w:val="top"/>
          </w:tcPr>
          <w:p w14:paraId="1F2CF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0.466</w:t>
            </w:r>
          </w:p>
        </w:tc>
      </w:tr>
      <w:tr w14:paraId="5B7C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13195F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逍遥石河</w:t>
            </w:r>
          </w:p>
        </w:tc>
        <w:tc>
          <w:tcPr>
            <w:tcW w:w="1666" w:type="pct"/>
            <w:vAlign w:val="top"/>
          </w:tcPr>
          <w:p w14:paraId="3F65D4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0.590</w:t>
            </w:r>
          </w:p>
        </w:tc>
        <w:tc>
          <w:tcPr>
            <w:tcW w:w="1666" w:type="pct"/>
            <w:vAlign w:val="top"/>
          </w:tcPr>
          <w:p w14:paraId="133E8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0.602</w:t>
            </w:r>
          </w:p>
        </w:tc>
      </w:tr>
      <w:tr w14:paraId="35BA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0B66A1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冶底河</w:t>
            </w:r>
          </w:p>
        </w:tc>
        <w:tc>
          <w:tcPr>
            <w:tcW w:w="1666" w:type="pct"/>
            <w:vAlign w:val="top"/>
          </w:tcPr>
          <w:p w14:paraId="15ECE7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0.752</w:t>
            </w:r>
          </w:p>
        </w:tc>
        <w:tc>
          <w:tcPr>
            <w:tcW w:w="1666" w:type="pct"/>
            <w:vAlign w:val="top"/>
          </w:tcPr>
          <w:p w14:paraId="42C5BF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0.752</w:t>
            </w:r>
          </w:p>
        </w:tc>
      </w:tr>
      <w:tr w14:paraId="7E0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04103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郑村河</w:t>
            </w:r>
          </w:p>
        </w:tc>
        <w:tc>
          <w:tcPr>
            <w:tcW w:w="1666" w:type="pct"/>
            <w:vAlign w:val="top"/>
          </w:tcPr>
          <w:p w14:paraId="56C62F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0.133</w:t>
            </w:r>
          </w:p>
        </w:tc>
        <w:tc>
          <w:tcPr>
            <w:tcW w:w="1666" w:type="pct"/>
            <w:vAlign w:val="top"/>
          </w:tcPr>
          <w:p w14:paraId="5820C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0.140</w:t>
            </w:r>
          </w:p>
        </w:tc>
      </w:tr>
      <w:tr w14:paraId="5A71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6F13C4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长河</w:t>
            </w:r>
          </w:p>
        </w:tc>
        <w:tc>
          <w:tcPr>
            <w:tcW w:w="1666" w:type="pct"/>
            <w:vAlign w:val="top"/>
          </w:tcPr>
          <w:p w14:paraId="2DD8FD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2.451</w:t>
            </w:r>
          </w:p>
        </w:tc>
        <w:tc>
          <w:tcPr>
            <w:tcW w:w="1666" w:type="pct"/>
            <w:vAlign w:val="top"/>
          </w:tcPr>
          <w:p w14:paraId="3FAFA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2.823</w:t>
            </w:r>
          </w:p>
        </w:tc>
      </w:tr>
      <w:tr w14:paraId="2245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750EE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东大河</w:t>
            </w:r>
          </w:p>
        </w:tc>
        <w:tc>
          <w:tcPr>
            <w:tcW w:w="1666" w:type="pct"/>
            <w:vAlign w:val="top"/>
          </w:tcPr>
          <w:p w14:paraId="17CCE9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0.806</w:t>
            </w:r>
          </w:p>
        </w:tc>
        <w:tc>
          <w:tcPr>
            <w:tcW w:w="1666" w:type="pct"/>
            <w:vAlign w:val="top"/>
          </w:tcPr>
          <w:p w14:paraId="6E8C6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6.131</w:t>
            </w:r>
          </w:p>
        </w:tc>
      </w:tr>
      <w:tr w14:paraId="31CC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69852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丹河</w:t>
            </w:r>
          </w:p>
        </w:tc>
        <w:tc>
          <w:tcPr>
            <w:tcW w:w="1666" w:type="pct"/>
            <w:vAlign w:val="top"/>
          </w:tcPr>
          <w:p w14:paraId="2EB50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5.400</w:t>
            </w:r>
          </w:p>
        </w:tc>
        <w:tc>
          <w:tcPr>
            <w:tcW w:w="1666" w:type="pct"/>
            <w:vAlign w:val="top"/>
          </w:tcPr>
          <w:p w14:paraId="30828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8.969</w:t>
            </w:r>
          </w:p>
        </w:tc>
      </w:tr>
      <w:tr w14:paraId="7708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70335E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白水河</w:t>
            </w:r>
          </w:p>
        </w:tc>
        <w:tc>
          <w:tcPr>
            <w:tcW w:w="1666" w:type="pct"/>
            <w:vAlign w:val="top"/>
          </w:tcPr>
          <w:p w14:paraId="087120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3.036</w:t>
            </w:r>
          </w:p>
        </w:tc>
        <w:tc>
          <w:tcPr>
            <w:tcW w:w="1666" w:type="pct"/>
            <w:vAlign w:val="top"/>
          </w:tcPr>
          <w:p w14:paraId="2AD17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3.224</w:t>
            </w:r>
          </w:p>
        </w:tc>
      </w:tr>
      <w:tr w14:paraId="470A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66" w:type="pct"/>
            <w:vAlign w:val="top"/>
          </w:tcPr>
          <w:p w14:paraId="49FED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白洋泉河</w:t>
            </w:r>
          </w:p>
        </w:tc>
        <w:tc>
          <w:tcPr>
            <w:tcW w:w="1666" w:type="pct"/>
            <w:vAlign w:val="top"/>
          </w:tcPr>
          <w:p w14:paraId="4018B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1.383</w:t>
            </w:r>
          </w:p>
        </w:tc>
        <w:tc>
          <w:tcPr>
            <w:tcW w:w="1666" w:type="pct"/>
            <w:vAlign w:val="top"/>
          </w:tcPr>
          <w:p w14:paraId="3CF08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3.988</w:t>
            </w:r>
          </w:p>
        </w:tc>
      </w:tr>
    </w:tbl>
    <w:p w14:paraId="0AB16573">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eastAsia="宋体" w:cs="Times New Roman"/>
          <w:sz w:val="28"/>
          <w:szCs w:val="28"/>
          <w:lang w:val="en-US" w:eastAsia="zh-CN"/>
        </w:rPr>
      </w:pPr>
    </w:p>
    <w:p w14:paraId="0A7D8205">
      <w:pPr>
        <w:pStyle w:val="2"/>
        <w:keepNext w:val="0"/>
        <w:keepLines w:val="0"/>
        <w:pageBreakBefore w:val="0"/>
        <w:widowControl w:val="0"/>
        <w:numPr>
          <w:ilvl w:val="0"/>
          <w:numId w:val="0"/>
        </w:numPr>
        <w:kinsoku/>
        <w:wordWrap/>
        <w:overflowPunct/>
        <w:topLinePunct w:val="0"/>
        <w:autoSpaceDE/>
        <w:autoSpaceDN/>
        <w:bidi w:val="0"/>
        <w:snapToGrid w:val="0"/>
        <w:spacing w:line="360" w:lineRule="auto"/>
        <w:ind w:left="0" w:leftChars="0" w:firstLine="560" w:firstLineChars="200"/>
        <w:textAlignment w:val="auto"/>
        <w:rPr>
          <w:rFonts w:hint="default"/>
          <w:lang w:val="en-US" w:eastAsia="zh-CN"/>
        </w:rPr>
      </w:pPr>
      <w:r>
        <w:rPr>
          <w:rFonts w:hint="eastAsia" w:cs="Times New Roman"/>
          <w:kern w:val="2"/>
          <w:sz w:val="28"/>
          <w:szCs w:val="28"/>
          <w:lang w:val="en-US" w:eastAsia="zh-CN" w:bidi="ar-SA"/>
        </w:rPr>
        <w:t>3</w:t>
      </w:r>
      <w:r>
        <w:rPr>
          <w:rFonts w:hint="eastAsia" w:ascii="Times New Roman" w:hAnsi="Times New Roman" w:eastAsia="宋体" w:cs="Times New Roman"/>
          <w:kern w:val="2"/>
          <w:sz w:val="28"/>
          <w:szCs w:val="28"/>
          <w:lang w:val="en-US" w:eastAsia="zh-CN" w:bidi="ar-SA"/>
        </w:rPr>
        <w:t>、</w:t>
      </w:r>
      <w:r>
        <w:rPr>
          <w:rFonts w:hint="eastAsia" w:cs="Times New Roman"/>
          <w:kern w:val="2"/>
          <w:sz w:val="28"/>
          <w:szCs w:val="28"/>
          <w:lang w:val="en-US" w:eastAsia="zh-CN" w:bidi="ar-SA"/>
        </w:rPr>
        <w:t>重要饮用水源地</w:t>
      </w:r>
    </w:p>
    <w:p w14:paraId="37477F3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cs="Times New Roman" w:eastAsiaTheme="minorEastAsia"/>
          <w:sz w:val="28"/>
          <w:szCs w:val="28"/>
          <w:highlight w:val="none"/>
          <w:lang w:val="en-US" w:eastAsia="zh-CN"/>
        </w:rPr>
      </w:pPr>
      <w:r>
        <w:rPr>
          <w:rFonts w:hint="eastAsia" w:eastAsia="宋体"/>
          <w:sz w:val="28"/>
          <w:szCs w:val="28"/>
        </w:rPr>
        <w:t>按照规划总体布局，</w:t>
      </w:r>
      <w:r>
        <w:rPr>
          <w:rFonts w:hint="eastAsia" w:eastAsia="宋体"/>
          <w:sz w:val="28"/>
          <w:szCs w:val="28"/>
          <w:lang w:val="en-US" w:eastAsia="zh-CN"/>
        </w:rPr>
        <w:t>泽州县</w:t>
      </w:r>
      <w:r>
        <w:rPr>
          <w:rFonts w:eastAsia="宋体"/>
          <w:sz w:val="28"/>
          <w:szCs w:val="28"/>
        </w:rPr>
        <w:t>重要饮用</w:t>
      </w:r>
      <w:r>
        <w:rPr>
          <w:rFonts w:hint="eastAsia" w:eastAsia="宋体"/>
          <w:sz w:val="28"/>
          <w:szCs w:val="28"/>
        </w:rPr>
        <w:t>水</w:t>
      </w:r>
      <w:r>
        <w:rPr>
          <w:rFonts w:eastAsia="宋体"/>
          <w:sz w:val="28"/>
          <w:szCs w:val="28"/>
        </w:rPr>
        <w:t>源地</w:t>
      </w:r>
      <w:r>
        <w:rPr>
          <w:rFonts w:hint="eastAsia" w:eastAsia="宋体"/>
          <w:sz w:val="28"/>
          <w:szCs w:val="28"/>
        </w:rPr>
        <w:t>共有</w:t>
      </w:r>
      <w:r>
        <w:rPr>
          <w:rFonts w:hint="eastAsia" w:eastAsia="宋体"/>
          <w:sz w:val="28"/>
          <w:szCs w:val="28"/>
          <w:lang w:val="en-US" w:eastAsia="zh-CN"/>
        </w:rPr>
        <w:t>18</w:t>
      </w:r>
      <w:r>
        <w:rPr>
          <w:rFonts w:hint="eastAsia" w:eastAsia="宋体"/>
          <w:sz w:val="28"/>
          <w:szCs w:val="28"/>
        </w:rPr>
        <w:t>个</w:t>
      </w:r>
      <w:r>
        <w:rPr>
          <w:rFonts w:hint="eastAsia" w:eastAsia="宋体"/>
          <w:sz w:val="28"/>
          <w:szCs w:val="28"/>
          <w:lang w:eastAsia="zh-CN"/>
        </w:rPr>
        <w:t>，</w:t>
      </w:r>
      <w:r>
        <w:rPr>
          <w:rFonts w:hint="eastAsia" w:cs="Times New Roman" w:eastAsiaTheme="minorEastAsia"/>
          <w:sz w:val="28"/>
          <w:szCs w:val="28"/>
          <w:highlight w:val="none"/>
          <w:lang w:val="en-US" w:eastAsia="zh-CN"/>
        </w:rPr>
        <w:t>分别为南村镇集中供水水源地、下村镇集中供水水源地、大东沟镇集中供水水源地、周村镇集中供水水源地、犁川镇集中供水水源地、晋庙铺镇东冻水源地、金村镇集中供水水源地、高都镇任庄水源地、巴公二村集中供水水源地、巴公一村集中供水水源地、大阳镇集中供水水源地、山河镇道宝河水源地、大箕镇集中供水水源地、柳树口镇玛琅水源地、北义城镇集中供水水源地、川底集中供水水源地、李寨集中供水水源地、南岭集中供水水源地。</w:t>
      </w:r>
    </w:p>
    <w:p w14:paraId="1324CB5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highlight w:val="red"/>
          <w:lang w:val="en-US" w:eastAsia="zh-CN"/>
        </w:rPr>
      </w:pPr>
      <w:r>
        <w:rPr>
          <w:rFonts w:hint="eastAsia" w:eastAsia="宋体"/>
          <w:sz w:val="28"/>
          <w:szCs w:val="28"/>
          <w:lang w:eastAsia="zh-CN"/>
        </w:rPr>
        <w:t>全</w:t>
      </w:r>
      <w:r>
        <w:rPr>
          <w:rFonts w:hint="eastAsia" w:eastAsia="宋体"/>
          <w:sz w:val="28"/>
          <w:szCs w:val="28"/>
          <w:lang w:val="en-US" w:eastAsia="zh-CN"/>
        </w:rPr>
        <w:t>县</w:t>
      </w:r>
      <w:r>
        <w:rPr>
          <w:rFonts w:hint="eastAsia" w:eastAsia="宋体"/>
          <w:sz w:val="28"/>
          <w:szCs w:val="28"/>
        </w:rPr>
        <w:t>重要饮用</w:t>
      </w:r>
      <w:r>
        <w:rPr>
          <w:rFonts w:eastAsia="宋体"/>
          <w:sz w:val="28"/>
          <w:szCs w:val="28"/>
        </w:rPr>
        <w:t>水</w:t>
      </w:r>
      <w:r>
        <w:rPr>
          <w:rFonts w:hint="eastAsia" w:eastAsia="宋体"/>
          <w:sz w:val="28"/>
          <w:szCs w:val="28"/>
        </w:rPr>
        <w:t>水</w:t>
      </w:r>
      <w:r>
        <w:rPr>
          <w:rFonts w:eastAsia="宋体"/>
          <w:sz w:val="28"/>
          <w:szCs w:val="28"/>
        </w:rPr>
        <w:t>源地水源保护一级保护区面积</w:t>
      </w:r>
      <w:r>
        <w:rPr>
          <w:rFonts w:hint="eastAsia" w:eastAsia="宋体"/>
          <w:sz w:val="28"/>
          <w:szCs w:val="28"/>
          <w:lang w:val="en-US" w:eastAsia="zh-CN"/>
        </w:rPr>
        <w:t>0.194</w:t>
      </w:r>
      <w:r>
        <w:rPr>
          <w:rFonts w:hint="eastAsia" w:eastAsia="宋体"/>
          <w:sz w:val="28"/>
          <w:szCs w:val="28"/>
          <w:highlight w:val="none"/>
        </w:rPr>
        <w:t>km</w:t>
      </w:r>
      <w:r>
        <w:rPr>
          <w:rFonts w:hint="eastAsia" w:eastAsia="宋体"/>
          <w:sz w:val="28"/>
          <w:szCs w:val="28"/>
          <w:highlight w:val="none"/>
          <w:vertAlign w:val="superscript"/>
        </w:rPr>
        <w:t>2</w:t>
      </w:r>
      <w:r>
        <w:rPr>
          <w:rFonts w:hint="eastAsia" w:eastAsia="宋体"/>
          <w:sz w:val="28"/>
          <w:szCs w:val="28"/>
          <w:highlight w:val="none"/>
          <w:lang w:eastAsia="zh-CN"/>
        </w:rPr>
        <w:t>，</w:t>
      </w:r>
      <w:r>
        <w:rPr>
          <w:rFonts w:hint="eastAsia" w:eastAsia="宋体"/>
          <w:sz w:val="28"/>
          <w:szCs w:val="28"/>
          <w:highlight w:val="none"/>
          <w:lang w:val="en-US" w:eastAsia="zh-CN"/>
        </w:rPr>
        <w:t>二级保护区面积2.991</w:t>
      </w:r>
      <w:r>
        <w:rPr>
          <w:rFonts w:hint="eastAsia" w:eastAsia="宋体"/>
          <w:sz w:val="28"/>
          <w:szCs w:val="28"/>
          <w:highlight w:val="none"/>
        </w:rPr>
        <w:t>km</w:t>
      </w:r>
      <w:r>
        <w:rPr>
          <w:rFonts w:hint="eastAsia" w:eastAsia="宋体"/>
          <w:sz w:val="28"/>
          <w:szCs w:val="28"/>
          <w:highlight w:val="none"/>
          <w:vertAlign w:val="superscript"/>
        </w:rPr>
        <w:t>2</w:t>
      </w:r>
      <w:r>
        <w:rPr>
          <w:rFonts w:eastAsia="宋体"/>
          <w:sz w:val="28"/>
          <w:szCs w:val="28"/>
          <w:highlight w:val="none"/>
        </w:rPr>
        <w:t>。</w:t>
      </w:r>
    </w:p>
    <w:p w14:paraId="3F5CFBD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eastAsia="宋体" w:cs="Times New Roman"/>
          <w:sz w:val="28"/>
          <w:szCs w:val="28"/>
          <w:lang w:val="en-US" w:eastAsia="zh-CN"/>
        </w:rPr>
      </w:pPr>
      <w:r>
        <w:rPr>
          <w:rFonts w:hint="eastAsia" w:eastAsia="宋体" w:cs="Times New Roman"/>
          <w:sz w:val="28"/>
          <w:szCs w:val="28"/>
          <w:lang w:val="en-US" w:eastAsia="zh-CN"/>
        </w:rPr>
        <w:t>泽州县重要饮用水水源地规划成果表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3"/>
        <w:gridCol w:w="2659"/>
        <w:gridCol w:w="2981"/>
      </w:tblGrid>
      <w:tr w14:paraId="55AC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5FA9F7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水源地名称</w:t>
            </w:r>
          </w:p>
        </w:tc>
        <w:tc>
          <w:tcPr>
            <w:tcW w:w="1486" w:type="pct"/>
            <w:vAlign w:val="top"/>
          </w:tcPr>
          <w:p w14:paraId="348C75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一级保护区范围</w:t>
            </w:r>
          </w:p>
        </w:tc>
        <w:tc>
          <w:tcPr>
            <w:tcW w:w="1666" w:type="pct"/>
            <w:vAlign w:val="top"/>
          </w:tcPr>
          <w:p w14:paraId="2C26D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二级保护区范围</w:t>
            </w:r>
          </w:p>
        </w:tc>
      </w:tr>
      <w:tr w14:paraId="4AFCF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5B111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南村镇集中供水水源地</w:t>
            </w:r>
          </w:p>
        </w:tc>
        <w:tc>
          <w:tcPr>
            <w:tcW w:w="1486" w:type="pct"/>
            <w:vAlign w:val="top"/>
          </w:tcPr>
          <w:p w14:paraId="05F1B9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0.007</w:t>
            </w:r>
          </w:p>
        </w:tc>
        <w:tc>
          <w:tcPr>
            <w:tcW w:w="1666" w:type="pct"/>
            <w:vAlign w:val="top"/>
          </w:tcPr>
          <w:p w14:paraId="31B8B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64C4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03A56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下村镇集中供水水源地</w:t>
            </w:r>
          </w:p>
        </w:tc>
        <w:tc>
          <w:tcPr>
            <w:tcW w:w="1486" w:type="pct"/>
            <w:vAlign w:val="top"/>
          </w:tcPr>
          <w:p w14:paraId="13E44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15D9C2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5F80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19CE8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大东沟镇集中供水水源地</w:t>
            </w:r>
          </w:p>
        </w:tc>
        <w:tc>
          <w:tcPr>
            <w:tcW w:w="1486" w:type="pct"/>
            <w:vAlign w:val="top"/>
          </w:tcPr>
          <w:p w14:paraId="7091F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4598B8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7A94B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595BF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周村镇集中供水水源地</w:t>
            </w:r>
          </w:p>
        </w:tc>
        <w:tc>
          <w:tcPr>
            <w:tcW w:w="1486" w:type="pct"/>
            <w:vAlign w:val="top"/>
          </w:tcPr>
          <w:p w14:paraId="7D6130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0.008</w:t>
            </w:r>
          </w:p>
        </w:tc>
        <w:tc>
          <w:tcPr>
            <w:tcW w:w="1666" w:type="pct"/>
            <w:vAlign w:val="top"/>
          </w:tcPr>
          <w:p w14:paraId="57503C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5112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6" w:type="pct"/>
            <w:vAlign w:val="top"/>
          </w:tcPr>
          <w:p w14:paraId="09D0DF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犁川镇集中供水水源地</w:t>
            </w:r>
          </w:p>
        </w:tc>
        <w:tc>
          <w:tcPr>
            <w:tcW w:w="1486" w:type="pct"/>
            <w:vAlign w:val="top"/>
          </w:tcPr>
          <w:p w14:paraId="2D614F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59AA1D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2554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20C983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晋庙铺镇东冻水源地</w:t>
            </w:r>
          </w:p>
        </w:tc>
        <w:tc>
          <w:tcPr>
            <w:tcW w:w="1486" w:type="pct"/>
            <w:vAlign w:val="top"/>
          </w:tcPr>
          <w:p w14:paraId="415111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0.004</w:t>
            </w:r>
          </w:p>
        </w:tc>
        <w:tc>
          <w:tcPr>
            <w:tcW w:w="1666" w:type="pct"/>
            <w:vAlign w:val="top"/>
          </w:tcPr>
          <w:p w14:paraId="1E5072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0557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5DA466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金村镇集中供水水源地</w:t>
            </w:r>
          </w:p>
        </w:tc>
        <w:tc>
          <w:tcPr>
            <w:tcW w:w="1486" w:type="pct"/>
            <w:vAlign w:val="top"/>
          </w:tcPr>
          <w:p w14:paraId="1ACDD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26170B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06D3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0487E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高都镇任庄水源地</w:t>
            </w:r>
          </w:p>
        </w:tc>
        <w:tc>
          <w:tcPr>
            <w:tcW w:w="1486" w:type="pct"/>
            <w:vAlign w:val="top"/>
          </w:tcPr>
          <w:p w14:paraId="5406D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092553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0.307</w:t>
            </w:r>
          </w:p>
        </w:tc>
      </w:tr>
      <w:tr w14:paraId="4291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10005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巴公二村集中供水水源地</w:t>
            </w:r>
          </w:p>
        </w:tc>
        <w:tc>
          <w:tcPr>
            <w:tcW w:w="1486" w:type="pct"/>
            <w:vAlign w:val="top"/>
          </w:tcPr>
          <w:p w14:paraId="5149D0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185587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117C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31A3CB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巴公一村集中供水水源地</w:t>
            </w:r>
          </w:p>
        </w:tc>
        <w:tc>
          <w:tcPr>
            <w:tcW w:w="1486" w:type="pct"/>
            <w:vAlign w:val="top"/>
          </w:tcPr>
          <w:p w14:paraId="65DE53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0.015</w:t>
            </w:r>
          </w:p>
        </w:tc>
        <w:tc>
          <w:tcPr>
            <w:tcW w:w="1666" w:type="pct"/>
            <w:vAlign w:val="top"/>
          </w:tcPr>
          <w:p w14:paraId="47CF9E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0.753</w:t>
            </w:r>
          </w:p>
        </w:tc>
      </w:tr>
      <w:tr w14:paraId="1651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5CDEA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大阳镇集中供水水源地</w:t>
            </w:r>
          </w:p>
        </w:tc>
        <w:tc>
          <w:tcPr>
            <w:tcW w:w="1486" w:type="pct"/>
            <w:vAlign w:val="top"/>
          </w:tcPr>
          <w:p w14:paraId="7CAE59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0.017</w:t>
            </w:r>
          </w:p>
        </w:tc>
        <w:tc>
          <w:tcPr>
            <w:tcW w:w="1666" w:type="pct"/>
            <w:vAlign w:val="top"/>
          </w:tcPr>
          <w:p w14:paraId="074500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1.259</w:t>
            </w:r>
          </w:p>
        </w:tc>
      </w:tr>
      <w:tr w14:paraId="76B1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2A72E7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s="Times New Roman"/>
                <w:sz w:val="28"/>
                <w:szCs w:val="28"/>
                <w:vertAlign w:val="baseline"/>
                <w:lang w:val="en-US" w:eastAsia="zh-CN"/>
              </w:rPr>
            </w:pPr>
            <w:r>
              <w:rPr>
                <w:rFonts w:hint="eastAsia" w:cs="Times New Roman" w:eastAsiaTheme="minorEastAsia"/>
                <w:sz w:val="28"/>
                <w:szCs w:val="28"/>
                <w:highlight w:val="none"/>
                <w:lang w:val="en-US" w:eastAsia="zh-CN"/>
              </w:rPr>
              <w:t>山河镇道宝河水源地</w:t>
            </w:r>
          </w:p>
        </w:tc>
        <w:tc>
          <w:tcPr>
            <w:tcW w:w="1486" w:type="pct"/>
            <w:vAlign w:val="top"/>
          </w:tcPr>
          <w:p w14:paraId="7D0FF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0.080</w:t>
            </w:r>
          </w:p>
        </w:tc>
        <w:tc>
          <w:tcPr>
            <w:tcW w:w="1666" w:type="pct"/>
            <w:vAlign w:val="top"/>
          </w:tcPr>
          <w:p w14:paraId="12628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486DC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2B95F9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eastAsiaTheme="minorEastAsia"/>
                <w:sz w:val="28"/>
                <w:szCs w:val="28"/>
                <w:highlight w:val="none"/>
                <w:lang w:val="en-US" w:eastAsia="zh-CN"/>
              </w:rPr>
            </w:pPr>
            <w:bookmarkStart w:id="73" w:name="_Toc20229467"/>
            <w:bookmarkStart w:id="74" w:name="_Toc36060084"/>
            <w:bookmarkStart w:id="75" w:name="_Toc18595499"/>
            <w:bookmarkStart w:id="76" w:name="_Toc16621"/>
            <w:bookmarkStart w:id="77" w:name="_Toc4567"/>
            <w:bookmarkStart w:id="78" w:name="_Toc6536"/>
            <w:bookmarkStart w:id="79" w:name="_Toc13175"/>
            <w:bookmarkStart w:id="80" w:name="_Toc17810"/>
            <w:bookmarkStart w:id="81" w:name="_Toc22108736"/>
            <w:bookmarkStart w:id="82" w:name="_Toc17798317"/>
            <w:r>
              <w:rPr>
                <w:rFonts w:hint="eastAsia" w:cs="Times New Roman" w:eastAsiaTheme="minorEastAsia"/>
                <w:sz w:val="28"/>
                <w:szCs w:val="28"/>
                <w:highlight w:val="none"/>
                <w:lang w:val="en-US" w:eastAsia="zh-CN"/>
              </w:rPr>
              <w:t>大箕镇集中供水水源地</w:t>
            </w:r>
          </w:p>
        </w:tc>
        <w:tc>
          <w:tcPr>
            <w:tcW w:w="1486" w:type="pct"/>
            <w:vAlign w:val="top"/>
          </w:tcPr>
          <w:p w14:paraId="61ADF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0EAFFE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082B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50615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柳树口镇玛琅水源地</w:t>
            </w:r>
          </w:p>
        </w:tc>
        <w:tc>
          <w:tcPr>
            <w:tcW w:w="1486" w:type="pct"/>
            <w:vAlign w:val="top"/>
          </w:tcPr>
          <w:p w14:paraId="40984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0.008</w:t>
            </w:r>
          </w:p>
        </w:tc>
        <w:tc>
          <w:tcPr>
            <w:tcW w:w="1666" w:type="pct"/>
            <w:vAlign w:val="top"/>
          </w:tcPr>
          <w:p w14:paraId="4D745A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0D36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655EEF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北义城镇集中供水水源地</w:t>
            </w:r>
          </w:p>
        </w:tc>
        <w:tc>
          <w:tcPr>
            <w:tcW w:w="1486" w:type="pct"/>
            <w:vAlign w:val="top"/>
          </w:tcPr>
          <w:p w14:paraId="7E43C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0.014</w:t>
            </w:r>
          </w:p>
        </w:tc>
        <w:tc>
          <w:tcPr>
            <w:tcW w:w="1666" w:type="pct"/>
            <w:vAlign w:val="top"/>
          </w:tcPr>
          <w:p w14:paraId="43F5CF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0.672</w:t>
            </w:r>
          </w:p>
        </w:tc>
      </w:tr>
      <w:tr w14:paraId="10F7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4EB85D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川底集中供水水源地</w:t>
            </w:r>
          </w:p>
        </w:tc>
        <w:tc>
          <w:tcPr>
            <w:tcW w:w="1486" w:type="pct"/>
            <w:vAlign w:val="top"/>
          </w:tcPr>
          <w:p w14:paraId="6B72A2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0.006</w:t>
            </w:r>
          </w:p>
        </w:tc>
        <w:tc>
          <w:tcPr>
            <w:tcW w:w="1666" w:type="pct"/>
            <w:vAlign w:val="top"/>
          </w:tcPr>
          <w:p w14:paraId="3C161F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7760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7F852B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李寨集中供水水源地</w:t>
            </w:r>
          </w:p>
        </w:tc>
        <w:tc>
          <w:tcPr>
            <w:tcW w:w="1486" w:type="pct"/>
            <w:vAlign w:val="top"/>
          </w:tcPr>
          <w:p w14:paraId="4433D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0.011</w:t>
            </w:r>
          </w:p>
        </w:tc>
        <w:tc>
          <w:tcPr>
            <w:tcW w:w="1666" w:type="pct"/>
            <w:vAlign w:val="top"/>
          </w:tcPr>
          <w:p w14:paraId="6A8749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r w14:paraId="1781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46" w:type="pct"/>
            <w:vAlign w:val="top"/>
          </w:tcPr>
          <w:p w14:paraId="26FDF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s="Times New Roman" w:eastAsiaTheme="minorEastAsia"/>
                <w:sz w:val="28"/>
                <w:szCs w:val="28"/>
                <w:highlight w:val="none"/>
                <w:lang w:val="en-US" w:eastAsia="zh-CN"/>
              </w:rPr>
            </w:pPr>
            <w:r>
              <w:rPr>
                <w:rFonts w:hint="eastAsia" w:cs="Times New Roman" w:eastAsiaTheme="minorEastAsia"/>
                <w:sz w:val="28"/>
                <w:szCs w:val="28"/>
                <w:highlight w:val="none"/>
                <w:lang w:val="en-US" w:eastAsia="zh-CN"/>
              </w:rPr>
              <w:t>南岭集中供水水源地</w:t>
            </w:r>
          </w:p>
        </w:tc>
        <w:tc>
          <w:tcPr>
            <w:tcW w:w="1486" w:type="pct"/>
            <w:vAlign w:val="top"/>
          </w:tcPr>
          <w:p w14:paraId="582F5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0.003</w:t>
            </w:r>
          </w:p>
        </w:tc>
        <w:tc>
          <w:tcPr>
            <w:tcW w:w="1666" w:type="pct"/>
            <w:vAlign w:val="top"/>
          </w:tcPr>
          <w:p w14:paraId="7EABCF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z w:val="28"/>
                <w:szCs w:val="28"/>
                <w:vertAlign w:val="baseline"/>
                <w:lang w:val="en-US" w:eastAsia="zh-CN"/>
              </w:rPr>
            </w:pPr>
            <w:r>
              <w:rPr>
                <w:rFonts w:hint="eastAsia" w:eastAsia="宋体" w:cs="Times New Roman"/>
                <w:sz w:val="28"/>
                <w:szCs w:val="28"/>
                <w:vertAlign w:val="baseline"/>
                <w:lang w:val="en-US" w:eastAsia="zh-CN"/>
              </w:rPr>
              <w:t>/</w:t>
            </w:r>
          </w:p>
        </w:tc>
      </w:tr>
    </w:tbl>
    <w:p w14:paraId="116F5978">
      <w:pPr>
        <w:pStyle w:val="5"/>
      </w:pPr>
      <w:bookmarkStart w:id="83" w:name="_Toc18806"/>
      <w:r>
        <w:rPr>
          <w:rFonts w:hint="eastAsia"/>
          <w:lang w:val="en-US" w:eastAsia="zh-CN"/>
        </w:rPr>
        <w:t>4.3</w:t>
      </w:r>
      <w:r>
        <w:t>涉水生态保护红线</w:t>
      </w:r>
      <w:bookmarkEnd w:id="73"/>
      <w:bookmarkEnd w:id="74"/>
      <w:bookmarkEnd w:id="75"/>
      <w:bookmarkEnd w:id="76"/>
      <w:bookmarkEnd w:id="77"/>
      <w:bookmarkEnd w:id="78"/>
      <w:bookmarkEnd w:id="79"/>
      <w:bookmarkEnd w:id="80"/>
      <w:bookmarkEnd w:id="81"/>
      <w:bookmarkEnd w:id="82"/>
      <w:bookmarkEnd w:id="83"/>
    </w:p>
    <w:p w14:paraId="4FA46ED2">
      <w:pPr>
        <w:pStyle w:val="6"/>
      </w:pPr>
      <w:bookmarkStart w:id="84" w:name="_Toc36060085"/>
      <w:r>
        <w:rPr>
          <w:rFonts w:hint="eastAsia"/>
          <w:lang w:val="en-US" w:eastAsia="zh-CN"/>
        </w:rPr>
        <w:t>4.3.1</w:t>
      </w:r>
      <w:r>
        <w:t>涉水生态保护红线识别</w:t>
      </w:r>
      <w:bookmarkEnd w:id="84"/>
    </w:p>
    <w:p w14:paraId="4A3D124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lang w:val="en-US" w:eastAsia="zh-CN"/>
        </w:rPr>
      </w:pPr>
      <w:r>
        <w:rPr>
          <w:rFonts w:hint="eastAsia" w:eastAsia="宋体"/>
          <w:sz w:val="28"/>
          <w:szCs w:val="28"/>
          <w:lang w:val="en-US" w:eastAsia="zh-CN"/>
        </w:rPr>
        <w:t>1、生态保护红线</w:t>
      </w:r>
    </w:p>
    <w:p w14:paraId="58F3C22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val="en-US" w:eastAsia="zh-CN"/>
        </w:rPr>
        <w:t>（1）生态保护红线划定范围</w:t>
      </w:r>
    </w:p>
    <w:p w14:paraId="22911CC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val="en-US" w:eastAsia="zh-CN"/>
        </w:rPr>
      </w:pPr>
      <w:r>
        <w:rPr>
          <w:rFonts w:eastAsia="宋体"/>
          <w:sz w:val="28"/>
          <w:szCs w:val="28"/>
          <w:lang w:val="en-US" w:eastAsia="zh-CN"/>
        </w:rPr>
        <w:t>生态保护红线是指在生态空间范围内具有特殊重要生态功能、必</w:t>
      </w:r>
      <w:r>
        <w:rPr>
          <w:rFonts w:hint="eastAsia" w:eastAsia="宋体"/>
          <w:sz w:val="28"/>
          <w:szCs w:val="28"/>
          <w:lang w:val="en-US" w:eastAsia="zh-CN"/>
        </w:rPr>
        <w:t>须强制性严格保护的区域</w:t>
      </w:r>
      <w:r>
        <w:rPr>
          <w:rFonts w:hint="eastAsia" w:eastAsia="宋体"/>
          <w:sz w:val="28"/>
          <w:szCs w:val="28"/>
          <w:lang w:eastAsia="zh-CN"/>
        </w:rPr>
        <w:t>。</w:t>
      </w:r>
      <w:r>
        <w:rPr>
          <w:rFonts w:eastAsia="宋体"/>
          <w:sz w:val="28"/>
          <w:szCs w:val="28"/>
        </w:rPr>
        <w:t>按照《</w:t>
      </w:r>
      <w:r>
        <w:rPr>
          <w:rFonts w:hint="eastAsia" w:eastAsia="宋体"/>
          <w:sz w:val="28"/>
          <w:szCs w:val="28"/>
          <w:lang w:val="en-US" w:eastAsia="zh-CN"/>
        </w:rPr>
        <w:t>泽州县</w:t>
      </w:r>
      <w:r>
        <w:rPr>
          <w:rFonts w:eastAsia="宋体"/>
          <w:sz w:val="28"/>
          <w:szCs w:val="28"/>
        </w:rPr>
        <w:t>国土空间规划》（2020-2035年）资料，</w:t>
      </w:r>
      <w:r>
        <w:rPr>
          <w:rFonts w:hint="eastAsia" w:eastAsia="宋体"/>
          <w:sz w:val="28"/>
          <w:szCs w:val="28"/>
          <w:lang w:val="en-US" w:eastAsia="zh-CN"/>
        </w:rPr>
        <w:t>泽州县</w:t>
      </w:r>
      <w:r>
        <w:rPr>
          <w:rFonts w:eastAsia="宋体"/>
          <w:sz w:val="28"/>
          <w:szCs w:val="28"/>
        </w:rPr>
        <w:t>划定生态保护红线总面积</w:t>
      </w:r>
      <w:r>
        <w:rPr>
          <w:rFonts w:hint="eastAsia" w:eastAsia="宋体"/>
          <w:sz w:val="28"/>
          <w:szCs w:val="28"/>
          <w:lang w:eastAsia="zh-CN"/>
        </w:rPr>
        <w:t>为</w:t>
      </w:r>
      <w:r>
        <w:rPr>
          <w:rFonts w:hint="eastAsia" w:eastAsia="宋体"/>
          <w:sz w:val="28"/>
          <w:szCs w:val="28"/>
          <w:lang w:val="en-US" w:eastAsia="zh-CN"/>
        </w:rPr>
        <w:t>656.37km</w:t>
      </w:r>
      <w:r>
        <w:rPr>
          <w:rFonts w:hint="eastAsia" w:eastAsia="宋体"/>
          <w:sz w:val="28"/>
          <w:szCs w:val="28"/>
          <w:vertAlign w:val="superscript"/>
          <w:lang w:val="en-US" w:eastAsia="zh-CN"/>
        </w:rPr>
        <w:t>2</w:t>
      </w:r>
      <w:r>
        <w:rPr>
          <w:rFonts w:hint="eastAsia" w:eastAsia="宋体"/>
          <w:sz w:val="28"/>
          <w:szCs w:val="28"/>
          <w:lang w:val="en-US" w:eastAsia="zh-CN"/>
        </w:rPr>
        <w:t>。</w:t>
      </w:r>
    </w:p>
    <w:p w14:paraId="59B909F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（2）生态保护红线管控要求</w:t>
      </w:r>
    </w:p>
    <w:p w14:paraId="7A8EEEE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24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14:paraId="16D261E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val="en-US" w:eastAsia="zh-CN"/>
        </w:rPr>
        <w:t>2、永久基本农田</w:t>
      </w:r>
    </w:p>
    <w:p w14:paraId="4959AE96">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lang w:val="en-US" w:eastAsia="zh-CN"/>
        </w:rPr>
      </w:pPr>
      <w:r>
        <w:rPr>
          <w:rFonts w:hint="eastAsia"/>
          <w:lang w:val="en-US" w:eastAsia="zh-CN"/>
        </w:rPr>
        <w:t>（1）永久基本农田划定范围</w:t>
      </w:r>
    </w:p>
    <w:p w14:paraId="2CC055D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lang w:val="en-US" w:eastAsia="zh-CN"/>
        </w:rPr>
        <w:t>永久基本农田是为保障国家粮食安全和重要农产品供给，实施永</w:t>
      </w:r>
      <w:r>
        <w:rPr>
          <w:rFonts w:hint="eastAsia" w:eastAsia="宋体"/>
          <w:sz w:val="28"/>
          <w:szCs w:val="28"/>
          <w:lang w:val="en-US" w:eastAsia="zh-CN"/>
        </w:rPr>
        <w:t>久特殊保护的耕地。泽州县永久基本农田面积为444.33km</w:t>
      </w:r>
      <w:r>
        <w:rPr>
          <w:rFonts w:hint="eastAsia" w:eastAsia="宋体"/>
          <w:sz w:val="28"/>
          <w:szCs w:val="28"/>
          <w:vertAlign w:val="superscript"/>
          <w:lang w:val="en-US" w:eastAsia="zh-CN"/>
        </w:rPr>
        <w:t>2</w:t>
      </w:r>
      <w:r>
        <w:rPr>
          <w:rFonts w:eastAsia="宋体"/>
          <w:sz w:val="28"/>
          <w:szCs w:val="28"/>
        </w:rPr>
        <w:t>。</w:t>
      </w:r>
    </w:p>
    <w:p w14:paraId="3FD46DB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（2）永久基本农田管控要求</w:t>
      </w:r>
    </w:p>
    <w:p w14:paraId="24C5F5A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已经划定的永久基本农田中存在划定不实、违法占用、严重污染等问题的要全面梳理整改，确保永久基本农田面积不减、质量提升、布局稳定。</w:t>
      </w:r>
    </w:p>
    <w:p w14:paraId="09FE134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永久基本农田一经划定，任何单位和个人不得擅自占用或者擅自改变用途。国家能源、交通、水利、通信、军事设施等重点建设项目选址确实难以避让，必须严格论证，按程序报批，并及时补划数量相等、质量相当的永久基本农田。</w:t>
      </w:r>
    </w:p>
    <w:p w14:paraId="4074249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val="en-US" w:eastAsia="zh-CN"/>
        </w:rPr>
        <w:t>3、涉水空间与生态红线分析</w:t>
      </w:r>
    </w:p>
    <w:p w14:paraId="6F3BC0E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eastAsia="宋体"/>
          <w:sz w:val="28"/>
          <w:szCs w:val="28"/>
        </w:rPr>
        <w:t>生态保护红线未最终落定，按照现状涉水空间要素的位置和管控范围，</w:t>
      </w:r>
      <w:r>
        <w:rPr>
          <w:rFonts w:hint="eastAsia" w:eastAsia="宋体"/>
          <w:sz w:val="28"/>
          <w:szCs w:val="28"/>
          <w:lang w:val="en-US" w:eastAsia="zh-CN"/>
        </w:rPr>
        <w:t>泽州县</w:t>
      </w:r>
      <w:r>
        <w:rPr>
          <w:rFonts w:eastAsia="宋体"/>
          <w:sz w:val="28"/>
          <w:szCs w:val="28"/>
        </w:rPr>
        <w:t>河流生态空间范围与目前最新划定的生态保护红线内重叠面积</w:t>
      </w:r>
      <w:r>
        <w:rPr>
          <w:rFonts w:hint="eastAsia" w:eastAsia="宋体"/>
          <w:sz w:val="28"/>
          <w:szCs w:val="28"/>
          <w:lang w:val="en-US" w:eastAsia="zh-CN"/>
        </w:rPr>
        <w:t>均有重叠</w:t>
      </w:r>
      <w:r>
        <w:rPr>
          <w:rFonts w:eastAsia="宋体"/>
          <w:sz w:val="28"/>
          <w:szCs w:val="28"/>
        </w:rPr>
        <w:t>，各河均需进行协调。</w:t>
      </w:r>
    </w:p>
    <w:p w14:paraId="13BF39B7">
      <w:pPr>
        <w:pStyle w:val="6"/>
      </w:pPr>
      <w:bookmarkStart w:id="85" w:name="_Toc36060086"/>
      <w:r>
        <w:rPr>
          <w:rFonts w:hint="eastAsia"/>
          <w:lang w:val="en-US" w:eastAsia="zh-CN"/>
        </w:rPr>
        <w:t>4.3.2</w:t>
      </w:r>
      <w:r>
        <w:t>涉水生态保护红线协调</w:t>
      </w:r>
      <w:bookmarkEnd w:id="85"/>
    </w:p>
    <w:p w14:paraId="1DECD98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eastAsia="zh-CN"/>
        </w:rPr>
      </w:pPr>
      <w:r>
        <w:rPr>
          <w:rFonts w:hint="eastAsia" w:eastAsiaTheme="minorEastAsia"/>
          <w:sz w:val="28"/>
          <w:szCs w:val="28"/>
          <w:lang w:val="en-US" w:eastAsia="zh-CN"/>
        </w:rPr>
        <w:t xml:space="preserve">从尊重历史、实事求是、分类处理的原则出发，慎重、妥善地处理好本规划实施前生态控制线内的建设用地和建设项目。 </w:t>
      </w:r>
    </w:p>
    <w:p w14:paraId="15EAA85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eastAsia="zh-CN"/>
        </w:rPr>
      </w:pPr>
      <w:r>
        <w:rPr>
          <w:rFonts w:hint="eastAsia" w:eastAsiaTheme="minorEastAsia"/>
          <w:sz w:val="28"/>
          <w:szCs w:val="28"/>
          <w:lang w:val="en-US" w:eastAsia="zh-CN"/>
        </w:rPr>
        <w:t xml:space="preserve">1、已建合法建设项目，可按现状保留使用，但不得擅自改建、扩建或拆旧建新，使用期满后由自然资源主管部门依法收回土地使用权。 </w:t>
      </w:r>
    </w:p>
    <w:p w14:paraId="073728F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eastAsia="zh-CN"/>
        </w:rPr>
      </w:pPr>
      <w:r>
        <w:rPr>
          <w:rFonts w:hint="eastAsia" w:eastAsiaTheme="minorEastAsia"/>
          <w:sz w:val="28"/>
          <w:szCs w:val="28"/>
          <w:lang w:val="en-US" w:eastAsia="zh-CN"/>
        </w:rPr>
        <w:t xml:space="preserve">已建合法建设项目在使用年期届满前转让土地使用权的，自然资源主管部门可依法收购其土地使用权。 </w:t>
      </w:r>
    </w:p>
    <w:p w14:paraId="7CD7267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val="en-US" w:eastAsia="zh-CN"/>
        </w:rPr>
      </w:pPr>
      <w:r>
        <w:rPr>
          <w:rFonts w:hint="eastAsia" w:eastAsiaTheme="minorEastAsia"/>
          <w:sz w:val="28"/>
          <w:szCs w:val="28"/>
          <w:lang w:val="en-US" w:eastAsia="zh-CN"/>
        </w:rPr>
        <w:t>已建合法建设项目要优先考虑环境保护，加强各项环保及绿化工程建设，转为资源消耗低、环境影响小的用途；生态环境主管部门应加强监管，对环保不达标的项目应责令其整改，拒不整改或整改不达标的应依法予以取缔。</w:t>
      </w:r>
    </w:p>
    <w:p w14:paraId="7DAEA96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eastAsia="zh-CN"/>
        </w:rPr>
      </w:pPr>
      <w:r>
        <w:rPr>
          <w:rFonts w:hint="eastAsia" w:eastAsiaTheme="minorEastAsia"/>
          <w:sz w:val="28"/>
          <w:szCs w:val="28"/>
          <w:lang w:val="en-US" w:eastAsia="zh-CN"/>
        </w:rPr>
        <w:t xml:space="preserve"> 2、已办理土地使用证、签订国有土地使用权出让合同或集体土地流转合同，但尚未开工的建设项目，原则上不得批准建设，应置换到生态控制线外根据规划进行建设，或由自然资源主管部门依法补偿后收回土地。 </w:t>
      </w:r>
    </w:p>
    <w:p w14:paraId="2CC4545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val="en-US" w:eastAsia="zh-CN"/>
        </w:rPr>
      </w:pPr>
      <w:r>
        <w:rPr>
          <w:rFonts w:hint="eastAsia" w:eastAsiaTheme="minorEastAsia"/>
          <w:sz w:val="28"/>
          <w:szCs w:val="28"/>
          <w:lang w:val="en-US" w:eastAsia="zh-CN"/>
        </w:rPr>
        <w:t>未能置换和依法补偿后收回土地的，经相关部门批准同意建设后，应转为资源消耗低、环境影响小的用途，并按低强度开发。</w:t>
      </w:r>
    </w:p>
    <w:p w14:paraId="1BBFDEB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eastAsia="zh-CN"/>
        </w:rPr>
      </w:pPr>
      <w:r>
        <w:rPr>
          <w:rFonts w:hint="eastAsia" w:eastAsiaTheme="minorEastAsia"/>
          <w:sz w:val="28"/>
          <w:szCs w:val="28"/>
          <w:lang w:val="en-US" w:eastAsia="zh-CN"/>
        </w:rPr>
        <w:t xml:space="preserve">3、已建的违法建设项目，自然资源、发改、住建等主管部门不再补办有关手续，工商部门不再办理企业设立登记，生态环境部门应加强环保监管，自然资源主管部门依法收回占用土地。 </w:t>
      </w:r>
    </w:p>
    <w:p w14:paraId="24171C9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Theme="minorEastAsia"/>
          <w:sz w:val="28"/>
          <w:szCs w:val="28"/>
          <w:lang w:eastAsia="zh-CN"/>
        </w:rPr>
      </w:pPr>
      <w:r>
        <w:rPr>
          <w:rFonts w:hint="eastAsia" w:eastAsiaTheme="minorEastAsia"/>
          <w:sz w:val="28"/>
          <w:szCs w:val="28"/>
          <w:lang w:val="en-US" w:eastAsia="zh-CN"/>
        </w:rPr>
        <w:t xml:space="preserve">根据生态环境变迁和国土空间优化利用需要，结合相关规划和管理线的调整，可适时适度优化调整生态控制线，确保科学长效管理。在保证刚性管控的同时，建立动态优化调整机制。生态控制线进行局部调整的，应遵循“保障结构完整、总量不减的原则”。 </w:t>
      </w:r>
    </w:p>
    <w:p w14:paraId="3378A9C4">
      <w:pPr>
        <w:ind w:firstLine="640"/>
      </w:pPr>
    </w:p>
    <w:p w14:paraId="002FC8BC">
      <w:pPr>
        <w:widowControl/>
        <w:adjustRightInd/>
        <w:snapToGrid/>
        <w:spacing w:line="240" w:lineRule="auto"/>
        <w:ind w:firstLine="0" w:firstLineChars="0"/>
        <w:jc w:val="left"/>
      </w:pPr>
      <w:r>
        <w:br w:type="page"/>
      </w:r>
    </w:p>
    <w:p w14:paraId="0095451F">
      <w:pPr>
        <w:pStyle w:val="4"/>
      </w:pPr>
      <w:bookmarkStart w:id="86" w:name="_Toc35868440"/>
      <w:bookmarkStart w:id="87" w:name="_Toc36060087"/>
      <w:bookmarkStart w:id="88" w:name="_Toc19915"/>
      <w:r>
        <w:rPr>
          <w:rFonts w:hint="eastAsia"/>
          <w:lang w:val="en-US" w:eastAsia="zh-CN"/>
        </w:rPr>
        <w:t>5</w:t>
      </w:r>
      <w:r>
        <w:t>水利基础设施空间布局</w:t>
      </w:r>
      <w:bookmarkEnd w:id="86"/>
      <w:bookmarkEnd w:id="87"/>
      <w:bookmarkEnd w:id="88"/>
    </w:p>
    <w:p w14:paraId="6013D700">
      <w:pPr>
        <w:pStyle w:val="5"/>
      </w:pPr>
      <w:bookmarkStart w:id="89" w:name="_Toc35868441"/>
      <w:bookmarkStart w:id="90" w:name="_Toc36060088"/>
      <w:bookmarkStart w:id="91" w:name="_Toc11602"/>
      <w:r>
        <w:rPr>
          <w:rFonts w:hint="eastAsia"/>
          <w:lang w:val="en-US" w:eastAsia="zh-CN"/>
        </w:rPr>
        <w:t>5.1</w:t>
      </w:r>
      <w:r>
        <w:t>水利基础设施空间总体布局</w:t>
      </w:r>
      <w:bookmarkEnd w:id="89"/>
      <w:bookmarkEnd w:id="90"/>
      <w:bookmarkEnd w:id="91"/>
    </w:p>
    <w:p w14:paraId="78E6B31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eastAsia="宋体"/>
          <w:sz w:val="28"/>
          <w:szCs w:val="28"/>
        </w:rPr>
      </w:pPr>
      <w:r>
        <w:rPr>
          <w:rFonts w:hint="eastAsia" w:eastAsia="宋体"/>
          <w:sz w:val="28"/>
          <w:szCs w:val="28"/>
          <w:lang w:val="en-US" w:eastAsia="zh-CN"/>
        </w:rPr>
        <w:t>泽州</w:t>
      </w:r>
      <w:r>
        <w:rPr>
          <w:rFonts w:eastAsia="宋体"/>
          <w:sz w:val="28"/>
          <w:szCs w:val="28"/>
        </w:rPr>
        <w:t>之长在于煤，</w:t>
      </w:r>
      <w:r>
        <w:rPr>
          <w:rFonts w:hint="eastAsia" w:eastAsia="宋体"/>
          <w:sz w:val="28"/>
          <w:szCs w:val="28"/>
          <w:lang w:val="en-US" w:eastAsia="zh-CN"/>
        </w:rPr>
        <w:t>泽州</w:t>
      </w:r>
      <w:r>
        <w:rPr>
          <w:rFonts w:eastAsia="宋体"/>
          <w:sz w:val="28"/>
          <w:szCs w:val="28"/>
        </w:rPr>
        <w:t>之短在于水，水的问题一直是制约</w:t>
      </w:r>
      <w:r>
        <w:rPr>
          <w:rFonts w:hint="eastAsia" w:eastAsia="宋体"/>
          <w:sz w:val="28"/>
          <w:szCs w:val="28"/>
          <w:lang w:val="en-US" w:eastAsia="zh-CN"/>
        </w:rPr>
        <w:t>泽州</w:t>
      </w:r>
      <w:r>
        <w:rPr>
          <w:rFonts w:eastAsia="宋体"/>
          <w:sz w:val="28"/>
          <w:szCs w:val="28"/>
        </w:rPr>
        <w:t>转型发展、绿色发展最突出的一块短板。</w:t>
      </w:r>
      <w:r>
        <w:rPr>
          <w:rFonts w:hint="eastAsia" w:eastAsia="宋体"/>
          <w:sz w:val="28"/>
          <w:szCs w:val="28"/>
          <w:lang w:val="en-US" w:eastAsia="zh-CN"/>
        </w:rPr>
        <w:t>县</w:t>
      </w:r>
      <w:r>
        <w:rPr>
          <w:rFonts w:eastAsia="宋体"/>
          <w:sz w:val="28"/>
          <w:szCs w:val="28"/>
        </w:rPr>
        <w:t>委、</w:t>
      </w:r>
      <w:r>
        <w:rPr>
          <w:rFonts w:hint="eastAsia" w:eastAsia="宋体"/>
          <w:sz w:val="28"/>
          <w:szCs w:val="28"/>
          <w:lang w:val="en-US" w:eastAsia="zh-CN"/>
        </w:rPr>
        <w:t>县</w:t>
      </w:r>
      <w:r>
        <w:rPr>
          <w:rFonts w:eastAsia="宋体"/>
          <w:sz w:val="28"/>
          <w:szCs w:val="28"/>
        </w:rPr>
        <w:t>政府高度重视水利工作，持续把水利作为基础设施建设的重点领域予以加强，</w:t>
      </w:r>
      <w:r>
        <w:rPr>
          <w:rFonts w:hint="eastAsia" w:eastAsia="宋体"/>
          <w:sz w:val="28"/>
          <w:szCs w:val="28"/>
        </w:rPr>
        <w:t>“十三五”期间，水利建设在上级部门的大力支持下，全县水利建设取得了较大的进步。坚持“以水定城、以水定地、以水定人、以水定产”，控制用水总量，提高利用效能，强化水资源管理，使生产力空间布局、经济结构、发展方式以及生活方式与水资源禀赋条件、水环境承载能力相适应、相协调。严把水资源开发利用控制、用水效率控制、水功能区限制纳污“三条红线”，全面提高用水效率和效益，以水资源的可持续利用支撑、保障经济社会和生态建设的可持续发展。通过不懈努力，各项水利工作均取得了较好成绩，为全县经济社会发展提供了水保障。</w:t>
      </w:r>
    </w:p>
    <w:p w14:paraId="5484EDE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color w:val="auto"/>
          <w:sz w:val="28"/>
          <w:szCs w:val="28"/>
        </w:rPr>
      </w:pPr>
      <w:r>
        <w:rPr>
          <w:rFonts w:eastAsia="宋体"/>
          <w:color w:val="auto"/>
          <w:sz w:val="28"/>
          <w:szCs w:val="28"/>
        </w:rPr>
        <w:t>结合目前</w:t>
      </w:r>
      <w:r>
        <w:rPr>
          <w:rFonts w:hint="eastAsia" w:eastAsia="宋体"/>
          <w:color w:val="auto"/>
          <w:sz w:val="28"/>
          <w:szCs w:val="28"/>
          <w:lang w:val="en-US" w:eastAsia="zh-CN"/>
        </w:rPr>
        <w:t>泽州县</w:t>
      </w:r>
      <w:r>
        <w:rPr>
          <w:rFonts w:eastAsia="宋体"/>
          <w:color w:val="auto"/>
          <w:sz w:val="28"/>
          <w:szCs w:val="28"/>
        </w:rPr>
        <w:t>国土空间</w:t>
      </w:r>
      <w:r>
        <w:rPr>
          <w:rFonts w:hint="eastAsia" w:eastAsia="宋体"/>
          <w:color w:val="auto"/>
          <w:sz w:val="28"/>
          <w:szCs w:val="28"/>
          <w:lang w:eastAsia="zh-CN"/>
        </w:rPr>
        <w:t>“</w:t>
      </w:r>
      <w:r>
        <w:rPr>
          <w:rFonts w:hint="default" w:eastAsia="宋体"/>
          <w:color w:val="auto"/>
          <w:sz w:val="28"/>
          <w:szCs w:val="28"/>
        </w:rPr>
        <w:t>一屏两廊、一城三带</w:t>
      </w:r>
      <w:r>
        <w:rPr>
          <w:rFonts w:hint="eastAsia" w:eastAsia="宋体"/>
          <w:color w:val="auto"/>
          <w:sz w:val="28"/>
          <w:szCs w:val="28"/>
          <w:lang w:eastAsia="zh-CN"/>
        </w:rPr>
        <w:t>”</w:t>
      </w:r>
      <w:r>
        <w:rPr>
          <w:rFonts w:hint="default" w:eastAsia="宋体"/>
          <w:color w:val="auto"/>
          <w:sz w:val="28"/>
          <w:szCs w:val="28"/>
        </w:rPr>
        <w:t>的国土空间保护开</w:t>
      </w:r>
      <w:r>
        <w:rPr>
          <w:rFonts w:hint="eastAsia" w:eastAsia="宋体"/>
          <w:color w:val="auto"/>
          <w:sz w:val="28"/>
          <w:szCs w:val="28"/>
          <w:lang w:val="en-US" w:eastAsia="zh-CN"/>
        </w:rPr>
        <w:t>发</w:t>
      </w:r>
      <w:r>
        <w:rPr>
          <w:rFonts w:eastAsia="宋体"/>
          <w:color w:val="auto"/>
          <w:sz w:val="28"/>
          <w:szCs w:val="28"/>
        </w:rPr>
        <w:t>总体布局按照高质量发展要求和生态水利工程理念，</w:t>
      </w:r>
      <w:r>
        <w:rPr>
          <w:rFonts w:hint="eastAsia" w:eastAsia="宋体"/>
          <w:color w:val="auto"/>
          <w:sz w:val="28"/>
          <w:szCs w:val="28"/>
          <w:lang w:val="en-US" w:eastAsia="zh-CN"/>
        </w:rPr>
        <w:t>泽州县</w:t>
      </w:r>
      <w:r>
        <w:rPr>
          <w:rFonts w:eastAsia="宋体"/>
          <w:color w:val="auto"/>
          <w:sz w:val="28"/>
          <w:szCs w:val="28"/>
        </w:rPr>
        <w:t>在空间结构上，依托天然水系，以河湖连通工程和骨干渠系为纽带，以水源控制工程为节点，构建具有资源时空调配能力、生态保护修复功能、风险调控能力空间网络形态的水利基础设 施总体布局，明确水利基础设施网络布局、方向与重点。</w:t>
      </w:r>
    </w:p>
    <w:p w14:paraId="45C851C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color w:val="auto"/>
          <w:sz w:val="28"/>
          <w:szCs w:val="28"/>
        </w:rPr>
      </w:pPr>
      <w:r>
        <w:rPr>
          <w:rFonts w:hint="eastAsia" w:eastAsia="宋体"/>
          <w:color w:val="auto"/>
          <w:sz w:val="28"/>
          <w:szCs w:val="28"/>
          <w:lang w:val="en-US" w:eastAsia="zh-CN"/>
        </w:rPr>
        <w:t>泽州县</w:t>
      </w:r>
      <w:r>
        <w:rPr>
          <w:rFonts w:eastAsia="宋体"/>
          <w:color w:val="auto"/>
          <w:sz w:val="28"/>
          <w:szCs w:val="28"/>
        </w:rPr>
        <w:t>水利基础设施空间总体布局如下：</w:t>
      </w:r>
    </w:p>
    <w:p w14:paraId="10EB16B5">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实施丹河干流水生态修复治理、北石店河水生态修复治理、巴公河水生态修复治理、长河流域生态修复治理二期、长河周村段河道治理（圪套水库—石淙头）、白水河泽州县段河道治理、泽州县犁川河上游河道治理、白洋泉河河道治理。实施农村水系综合整治，大力改善农村人居环境。</w:t>
      </w:r>
    </w:p>
    <w:p w14:paraId="06B30CC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lang w:val="en-US" w:eastAsia="zh-CN"/>
        </w:rPr>
        <w:t>提升供水保障，确保沁水水资源安全</w:t>
      </w:r>
    </w:p>
    <w:p w14:paraId="48CCF9D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rPr>
      </w:pPr>
      <w:r>
        <w:rPr>
          <w:rFonts w:hint="default" w:ascii="Times New Roman" w:hAnsi="Times New Roman" w:eastAsia="宋体" w:cs="Times New Roman"/>
          <w:sz w:val="28"/>
          <w:szCs w:val="28"/>
          <w:lang w:val="en-US" w:eastAsia="zh-CN"/>
        </w:rPr>
        <w:t>建设乡镇供水体系，夯实县域水网基础。为克服煤矿采空区对水资源的影响，从过度依赖分散型小泉小水向集中供水迈进，</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县将继续在</w:t>
      </w:r>
      <w:r>
        <w:rPr>
          <w:rFonts w:hint="eastAsia" w:eastAsia="宋体" w:cs="Times New Roman"/>
          <w:sz w:val="28"/>
          <w:szCs w:val="28"/>
          <w:lang w:val="en-US" w:eastAsia="zh-CN"/>
        </w:rPr>
        <w:t>“</w:t>
      </w:r>
      <w:r>
        <w:rPr>
          <w:rFonts w:hint="default" w:ascii="Times New Roman" w:hAnsi="Times New Roman" w:eastAsia="宋体" w:cs="Times New Roman"/>
          <w:sz w:val="28"/>
          <w:szCs w:val="28"/>
          <w:lang w:val="en-US" w:eastAsia="zh-CN"/>
        </w:rPr>
        <w:t>十三五</w:t>
      </w:r>
      <w:r>
        <w:rPr>
          <w:rFonts w:hint="eastAsia" w:eastAsia="宋体" w:cs="Times New Roman"/>
          <w:sz w:val="28"/>
          <w:szCs w:val="28"/>
          <w:lang w:val="en-US" w:eastAsia="zh-CN"/>
        </w:rPr>
        <w:t>”</w:t>
      </w:r>
      <w:r>
        <w:rPr>
          <w:rFonts w:hint="default" w:ascii="Times New Roman" w:hAnsi="Times New Roman" w:eastAsia="宋体" w:cs="Times New Roman"/>
          <w:sz w:val="28"/>
          <w:szCs w:val="28"/>
          <w:lang w:val="en-US" w:eastAsia="zh-CN"/>
        </w:rPr>
        <w:t>水网布局的基础上，完善县级大水网工程。新建</w:t>
      </w:r>
      <w:r>
        <w:rPr>
          <w:rFonts w:hint="eastAsia" w:eastAsia="宋体" w:cs="Times New Roman"/>
          <w:sz w:val="28"/>
          <w:szCs w:val="28"/>
          <w:lang w:val="en-US" w:eastAsia="zh-CN"/>
        </w:rPr>
        <w:t>石河水库</w:t>
      </w:r>
      <w:r>
        <w:rPr>
          <w:rFonts w:hint="default" w:ascii="Times New Roman" w:hAnsi="Times New Roman" w:eastAsia="宋体" w:cs="Times New Roman"/>
          <w:sz w:val="28"/>
          <w:szCs w:val="28"/>
          <w:lang w:val="en-US" w:eastAsia="zh-CN"/>
        </w:rPr>
        <w:t>水源工程；管网工程方面，</w:t>
      </w:r>
      <w:r>
        <w:rPr>
          <w:rFonts w:hint="eastAsia" w:eastAsia="宋体" w:cs="Times New Roman"/>
          <w:sz w:val="28"/>
          <w:szCs w:val="28"/>
          <w:lang w:val="en-US" w:eastAsia="zh-CN"/>
        </w:rPr>
        <w:t>南部依托石河水库及盐厂泉，主要覆盖晋庙铺镇、山河镇、南岭镇、犁川镇、大箕镇5个镇；西部依托下河泉水源覆盖川底镇和周村镇；中北部以张峰水源为依托，覆盖大东沟镇、下村镇、大阳镇、巴公镇、北义城镇、高都镇；东部依托玛琅水源为依托，为柳树口镇提供水源。各片区</w:t>
      </w:r>
      <w:r>
        <w:rPr>
          <w:rFonts w:hint="default" w:ascii="Times New Roman" w:hAnsi="Times New Roman" w:eastAsia="宋体" w:cs="Times New Roman"/>
          <w:sz w:val="28"/>
          <w:szCs w:val="28"/>
          <w:lang w:val="en-US" w:eastAsia="zh-CN"/>
        </w:rPr>
        <w:t>最终形成</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县多源互补、稳定可靠、配置高效、覆盖全县的大水网。</w:t>
      </w:r>
    </w:p>
    <w:p w14:paraId="781A66B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lang w:eastAsia="zh-CN"/>
        </w:rPr>
      </w:pPr>
      <w:r>
        <w:rPr>
          <w:rFonts w:hint="default" w:eastAsia="宋体" w:cs="Times New Roman"/>
          <w:sz w:val="28"/>
          <w:szCs w:val="28"/>
        </w:rPr>
        <w:t>3、</w:t>
      </w:r>
      <w:r>
        <w:rPr>
          <w:rFonts w:hint="default" w:ascii="Times New Roman" w:hAnsi="Times New Roman" w:eastAsia="宋体" w:cs="Times New Roman"/>
          <w:sz w:val="28"/>
          <w:szCs w:val="28"/>
        </w:rPr>
        <w:t>在水网全面建设的同时，</w:t>
      </w:r>
      <w:r>
        <w:rPr>
          <w:rFonts w:hint="default" w:ascii="Times New Roman" w:hAnsi="Times New Roman" w:eastAsia="宋体" w:cs="Times New Roman"/>
          <w:sz w:val="28"/>
          <w:szCs w:val="28"/>
          <w:lang w:eastAsia="zh-CN"/>
        </w:rPr>
        <w:t>对</w:t>
      </w:r>
      <w:r>
        <w:rPr>
          <w:rFonts w:hint="default" w:eastAsia="宋体" w:cs="Times New Roman"/>
          <w:sz w:val="28"/>
          <w:szCs w:val="28"/>
          <w:lang w:eastAsia="zh-CN"/>
        </w:rPr>
        <w:t>长河、庾能、白水河、彭沟水库进行除险加固，对全县23座水库进行标准化建设及维修养护工程。</w:t>
      </w:r>
    </w:p>
    <w:p w14:paraId="6065910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4、在生态修复的理念指导下，开展山洪治理，实现主要河流防洪提标，确保</w:t>
      </w:r>
      <w:r>
        <w:rPr>
          <w:rFonts w:hint="default" w:eastAsia="宋体" w:cs="Times New Roman"/>
          <w:sz w:val="28"/>
          <w:szCs w:val="28"/>
        </w:rPr>
        <w:t>县域</w:t>
      </w:r>
      <w:r>
        <w:rPr>
          <w:rFonts w:hint="default" w:ascii="Times New Roman" w:hAnsi="Times New Roman" w:eastAsia="宋体" w:cs="Times New Roman"/>
          <w:sz w:val="28"/>
          <w:szCs w:val="28"/>
        </w:rPr>
        <w:t>内防洪安全；开展饮用水水源地保护工程，确保</w:t>
      </w:r>
      <w:r>
        <w:rPr>
          <w:rFonts w:hint="default" w:ascii="Times New Roman" w:hAnsi="Times New Roman" w:eastAsia="宋体" w:cs="Times New Roman"/>
          <w:sz w:val="28"/>
          <w:szCs w:val="28"/>
          <w:lang w:eastAsia="zh-CN"/>
        </w:rPr>
        <w:t>县</w:t>
      </w:r>
      <w:r>
        <w:rPr>
          <w:rFonts w:hint="default" w:ascii="Times New Roman" w:hAnsi="Times New Roman" w:eastAsia="宋体" w:cs="Times New Roman"/>
          <w:sz w:val="28"/>
          <w:szCs w:val="28"/>
        </w:rPr>
        <w:t>内供水安全。将水库工程、堤防工程、供水工程有效结合，形成具备资源空间调配功能和风险调控能力的水安全体系。</w:t>
      </w:r>
    </w:p>
    <w:p w14:paraId="13870F8F">
      <w:pPr>
        <w:pStyle w:val="5"/>
      </w:pPr>
      <w:bookmarkStart w:id="92" w:name="_Toc36060089"/>
      <w:bookmarkStart w:id="93" w:name="_Toc35868442"/>
      <w:bookmarkStart w:id="94" w:name="_Toc6811"/>
      <w:r>
        <w:rPr>
          <w:rFonts w:hint="eastAsia"/>
          <w:lang w:val="en-US" w:eastAsia="zh-CN"/>
        </w:rPr>
        <w:t>5.2</w:t>
      </w:r>
      <w:r>
        <w:t>水利基础设施供水体系空间布局</w:t>
      </w:r>
      <w:bookmarkEnd w:id="92"/>
      <w:bookmarkEnd w:id="93"/>
      <w:bookmarkEnd w:id="94"/>
    </w:p>
    <w:p w14:paraId="1DCECB2A">
      <w:pPr>
        <w:keepNext w:val="0"/>
        <w:keepLines w:val="0"/>
        <w:pageBreakBefore w:val="0"/>
        <w:widowControl w:val="0"/>
        <w:kinsoku/>
        <w:wordWrap/>
        <w:overflowPunct/>
        <w:topLinePunct w:val="0"/>
        <w:autoSpaceDE/>
        <w:autoSpaceDN/>
        <w:bidi w:val="0"/>
        <w:adjustRightInd w:val="0"/>
        <w:snapToGrid w:val="0"/>
        <w:spacing w:line="360" w:lineRule="auto"/>
        <w:ind w:firstLine="560"/>
        <w:jc w:val="both"/>
        <w:textAlignment w:val="auto"/>
        <w:rPr>
          <w:rFonts w:hint="default" w:ascii="Times New Roman" w:hAnsi="Times New Roman" w:cs="Times New Roman"/>
        </w:rPr>
      </w:pPr>
      <w:r>
        <w:rPr>
          <w:rFonts w:hint="eastAsia" w:eastAsia="宋体"/>
          <w:sz w:val="28"/>
          <w:szCs w:val="28"/>
          <w:lang w:val="en-US" w:eastAsia="zh-CN"/>
        </w:rPr>
        <w:t>随着泽州县供水网络逐步建设，将形成泽州县覆盖全域供水网络。</w:t>
      </w:r>
      <w:r>
        <w:rPr>
          <w:rFonts w:hint="default" w:ascii="Times New Roman" w:hAnsi="Times New Roman" w:eastAsia="宋体" w:cs="Times New Roman"/>
          <w:sz w:val="28"/>
          <w:szCs w:val="28"/>
          <w:lang w:val="en-US" w:eastAsia="zh-CN"/>
        </w:rPr>
        <w:t>新建</w:t>
      </w:r>
      <w:r>
        <w:rPr>
          <w:rFonts w:hint="eastAsia" w:eastAsia="宋体" w:cs="Times New Roman"/>
          <w:sz w:val="28"/>
          <w:szCs w:val="28"/>
          <w:lang w:val="en-US" w:eastAsia="zh-CN"/>
        </w:rPr>
        <w:t>石河水库</w:t>
      </w:r>
      <w:r>
        <w:rPr>
          <w:rFonts w:hint="default" w:ascii="Times New Roman" w:hAnsi="Times New Roman" w:eastAsia="宋体" w:cs="Times New Roman"/>
          <w:sz w:val="28"/>
          <w:szCs w:val="28"/>
          <w:lang w:val="en-US" w:eastAsia="zh-CN"/>
        </w:rPr>
        <w:t>水源工程；管网工程方面，</w:t>
      </w:r>
      <w:r>
        <w:rPr>
          <w:rFonts w:hint="eastAsia" w:eastAsia="宋体" w:cs="Times New Roman"/>
          <w:sz w:val="28"/>
          <w:szCs w:val="28"/>
          <w:lang w:val="en-US" w:eastAsia="zh-CN"/>
        </w:rPr>
        <w:t>南部依托石河水库及盐厂泉，主要覆盖晋庙铺镇、山河镇、南岭镇、犁川镇、大箕镇5个镇；西部依托下河泉水源覆盖川底镇和周村镇；中北部以张峰水源为依托，覆盖大东沟镇、下村镇、大阳镇、巴公镇、北义城镇、高都镇；东部依托玛琅水源为依托，为柳树口镇提供水源。各片区</w:t>
      </w:r>
      <w:r>
        <w:rPr>
          <w:rFonts w:hint="default" w:ascii="Times New Roman" w:hAnsi="Times New Roman" w:eastAsia="宋体" w:cs="Times New Roman"/>
          <w:sz w:val="28"/>
          <w:szCs w:val="28"/>
          <w:lang w:val="en-US" w:eastAsia="zh-CN"/>
        </w:rPr>
        <w:t>最终形成</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县多源互补、稳定可靠、配置高效、覆盖全县的大水网。</w:t>
      </w:r>
    </w:p>
    <w:p w14:paraId="5BC878E5">
      <w:pPr>
        <w:keepNext w:val="0"/>
        <w:keepLines w:val="0"/>
        <w:pageBreakBefore w:val="0"/>
        <w:widowControl w:val="0"/>
        <w:kinsoku/>
        <w:wordWrap/>
        <w:overflowPunct/>
        <w:topLinePunct w:val="0"/>
        <w:autoSpaceDE/>
        <w:autoSpaceDN/>
        <w:bidi w:val="0"/>
        <w:adjustRightInd w:val="0"/>
        <w:snapToGrid w:val="0"/>
        <w:spacing w:line="360" w:lineRule="auto"/>
        <w:ind w:firstLine="560"/>
        <w:jc w:val="both"/>
        <w:textAlignment w:val="auto"/>
        <w:rPr>
          <w:rFonts w:hint="eastAsia" w:eastAsia="宋体"/>
          <w:sz w:val="28"/>
          <w:szCs w:val="28"/>
          <w:lang w:val="en-US" w:eastAsia="zh-CN"/>
        </w:rPr>
      </w:pPr>
      <w:r>
        <w:rPr>
          <w:rFonts w:hint="default" w:eastAsia="宋体"/>
          <w:sz w:val="28"/>
          <w:szCs w:val="28"/>
          <w:lang w:val="en-US" w:eastAsia="zh-CN"/>
        </w:rPr>
        <w:t>泽州县南部水网工程</w:t>
      </w:r>
      <w:r>
        <w:rPr>
          <w:rFonts w:hint="eastAsia" w:eastAsia="宋体"/>
          <w:sz w:val="28"/>
          <w:szCs w:val="28"/>
          <w:lang w:val="en-US" w:eastAsia="zh-CN"/>
        </w:rPr>
        <w:t>：覆盖范围犁川镇、大箕镇、山河镇、南岭镇和晋庙铺镇。本项目主要水源为沁河及石河水库，同时整合了盐厂泉泉水，年供水量1276万m³。</w:t>
      </w:r>
    </w:p>
    <w:p w14:paraId="27AF3D80">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both"/>
        <w:textAlignment w:val="auto"/>
        <w:rPr>
          <w:rFonts w:hint="eastAsia" w:eastAsia="宋体"/>
          <w:sz w:val="28"/>
          <w:szCs w:val="28"/>
          <w:lang w:val="en-US" w:eastAsia="zh-CN"/>
        </w:rPr>
      </w:pPr>
      <w:r>
        <w:rPr>
          <w:rFonts w:hint="default" w:eastAsia="宋体"/>
          <w:sz w:val="28"/>
          <w:szCs w:val="28"/>
          <w:lang w:val="en-US" w:eastAsia="zh-CN"/>
        </w:rPr>
        <w:t>泽州县中北部规模化供水工程</w:t>
      </w:r>
      <w:r>
        <w:rPr>
          <w:rFonts w:hint="eastAsia" w:eastAsia="宋体"/>
          <w:sz w:val="28"/>
          <w:szCs w:val="28"/>
          <w:lang w:val="en-US" w:eastAsia="zh-CN"/>
        </w:rPr>
        <w:t>：北义城镇、巴公镇、高都镇、大阳镇、下村镇、大东沟镇、周村镇、川底镇、金村镇、柳树口镇，北部片区年供水量814.48万m</w:t>
      </w:r>
      <w:r>
        <w:rPr>
          <w:rFonts w:hint="eastAsia" w:eastAsia="宋体"/>
          <w:sz w:val="28"/>
          <w:szCs w:val="28"/>
          <w:vertAlign w:val="superscript"/>
          <w:lang w:val="en-US" w:eastAsia="zh-CN"/>
        </w:rPr>
        <w:t>3</w:t>
      </w:r>
      <w:r>
        <w:rPr>
          <w:rFonts w:hint="eastAsia" w:eastAsia="宋体"/>
          <w:sz w:val="28"/>
          <w:szCs w:val="28"/>
          <w:lang w:val="en-US" w:eastAsia="zh-CN"/>
        </w:rPr>
        <w:t>。中部片区年供水量66.54万m</w:t>
      </w:r>
      <w:r>
        <w:rPr>
          <w:rFonts w:hint="eastAsia" w:eastAsia="宋体"/>
          <w:sz w:val="28"/>
          <w:szCs w:val="28"/>
          <w:vertAlign w:val="superscript"/>
          <w:lang w:val="en-US" w:eastAsia="zh-CN"/>
        </w:rPr>
        <w:t>3</w:t>
      </w:r>
      <w:r>
        <w:rPr>
          <w:rFonts w:hint="eastAsia" w:eastAsia="宋体"/>
          <w:sz w:val="28"/>
          <w:szCs w:val="28"/>
          <w:lang w:val="en-US" w:eastAsia="zh-CN"/>
        </w:rPr>
        <w:t>。东部片区为泽州县东部片区规模化供水，解决神直供水工程片区供水不稳定问题。</w:t>
      </w:r>
    </w:p>
    <w:p w14:paraId="0ADFD7FD">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both"/>
        <w:textAlignment w:val="auto"/>
        <w:rPr>
          <w:rFonts w:hint="eastAsia" w:eastAsia="宋体"/>
          <w:sz w:val="28"/>
          <w:szCs w:val="28"/>
          <w:lang w:val="en-US" w:eastAsia="zh-CN"/>
        </w:rPr>
      </w:pPr>
      <w:r>
        <w:rPr>
          <w:rFonts w:hint="default" w:eastAsia="宋体"/>
          <w:sz w:val="28"/>
          <w:szCs w:val="28"/>
          <w:lang w:val="en-US" w:eastAsia="zh-CN"/>
        </w:rPr>
        <w:t>张峰水库供水与丹河（任庄水库段）连通工程</w:t>
      </w:r>
      <w:r>
        <w:rPr>
          <w:rFonts w:hint="eastAsia" w:eastAsia="宋体"/>
          <w:sz w:val="28"/>
          <w:szCs w:val="28"/>
          <w:lang w:val="en-US" w:eastAsia="zh-CN"/>
        </w:rPr>
        <w:t>：新建调节水池1座，加压泵站1座，铺设供水管道10km，设计年供水量200万m</w:t>
      </w:r>
      <w:r>
        <w:rPr>
          <w:rFonts w:hint="eastAsia" w:eastAsia="宋体"/>
          <w:sz w:val="28"/>
          <w:szCs w:val="28"/>
          <w:vertAlign w:val="superscript"/>
          <w:lang w:val="en-US" w:eastAsia="zh-CN"/>
        </w:rPr>
        <w:t>3</w:t>
      </w:r>
      <w:r>
        <w:rPr>
          <w:rFonts w:hint="eastAsia" w:eastAsia="宋体"/>
          <w:sz w:val="28"/>
          <w:szCs w:val="28"/>
          <w:lang w:val="en-US" w:eastAsia="zh-CN"/>
        </w:rPr>
        <w:t>。</w:t>
      </w:r>
    </w:p>
    <w:p w14:paraId="7081C8B5">
      <w:pPr>
        <w:keepNext w:val="0"/>
        <w:keepLines w:val="0"/>
        <w:pageBreakBefore w:val="0"/>
        <w:widowControl w:val="0"/>
        <w:kinsoku/>
        <w:wordWrap/>
        <w:overflowPunct/>
        <w:topLinePunct w:val="0"/>
        <w:autoSpaceDE/>
        <w:autoSpaceDN/>
        <w:bidi w:val="0"/>
        <w:adjustRightInd w:val="0"/>
        <w:snapToGrid w:val="0"/>
        <w:spacing w:beforeLines="0" w:afterLines="0" w:line="360" w:lineRule="auto"/>
        <w:jc w:val="both"/>
        <w:textAlignment w:val="auto"/>
        <w:rPr>
          <w:rFonts w:hint="default" w:eastAsia="宋体"/>
          <w:sz w:val="28"/>
          <w:szCs w:val="28"/>
          <w:lang w:val="en-US" w:eastAsia="zh-CN"/>
        </w:rPr>
      </w:pPr>
      <w:r>
        <w:rPr>
          <w:rFonts w:hint="default" w:eastAsia="宋体"/>
          <w:sz w:val="28"/>
          <w:szCs w:val="28"/>
          <w:lang w:val="en-US" w:eastAsia="zh-CN"/>
        </w:rPr>
        <w:t>高都镇丹河供水保障工程</w:t>
      </w:r>
      <w:r>
        <w:rPr>
          <w:rFonts w:hint="eastAsia" w:eastAsia="宋体"/>
          <w:sz w:val="28"/>
          <w:szCs w:val="28"/>
          <w:lang w:val="en-US" w:eastAsia="zh-CN"/>
        </w:rPr>
        <w:t>：铺设供水管道1.25km，新建阀门室40座，水表井220座，安装水表2058块，主要解决6个村3.2万人的供水保障，解决6个村3.2万人的供水保障。</w:t>
      </w:r>
    </w:p>
    <w:p w14:paraId="547A27CB">
      <w:pPr>
        <w:pStyle w:val="5"/>
      </w:pPr>
      <w:bookmarkStart w:id="95" w:name="_Toc35868443"/>
      <w:bookmarkStart w:id="96" w:name="_Toc36060090"/>
      <w:bookmarkStart w:id="97" w:name="_Toc31441"/>
      <w:r>
        <w:rPr>
          <w:rFonts w:hint="eastAsia"/>
          <w:lang w:val="en-US" w:eastAsia="zh-CN"/>
        </w:rPr>
        <w:t>5.3</w:t>
      </w:r>
      <w:r>
        <w:t>水利基础设施防洪空间布局</w:t>
      </w:r>
      <w:bookmarkEnd w:id="95"/>
      <w:bookmarkEnd w:id="96"/>
      <w:bookmarkEnd w:id="97"/>
    </w:p>
    <w:p w14:paraId="30A9AA90">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565" w:firstLineChars="202"/>
        <w:textAlignment w:val="auto"/>
        <w:rPr>
          <w:rFonts w:hint="default" w:ascii="Times New Roman" w:hAnsi="Times New Roman" w:eastAsia="宋体" w:cs="Times New Roman"/>
          <w:kern w:val="0"/>
          <w:sz w:val="28"/>
          <w:szCs w:val="28"/>
          <w:shd w:val="clear" w:color="auto" w:fill="FFFFFF"/>
        </w:rPr>
      </w:pPr>
      <w:r>
        <w:rPr>
          <w:rFonts w:hint="default" w:ascii="Times New Roman" w:hAnsi="Times New Roman" w:eastAsia="宋体" w:cs="Times New Roman"/>
          <w:kern w:val="0"/>
          <w:sz w:val="28"/>
          <w:szCs w:val="28"/>
          <w:shd w:val="clear" w:color="auto" w:fill="FFFFFF"/>
        </w:rPr>
        <w:t>以建立健全河道管理长效机制为抓手，牢固树立绿水青山就是金山银山的理念，发扬</w:t>
      </w:r>
      <w:r>
        <w:rPr>
          <w:rFonts w:hint="eastAsia" w:eastAsia="宋体" w:cs="Times New Roman"/>
          <w:kern w:val="0"/>
          <w:sz w:val="28"/>
          <w:szCs w:val="28"/>
          <w:shd w:val="clear" w:color="auto" w:fill="FFFFFF"/>
          <w:lang w:eastAsia="zh-CN"/>
        </w:rPr>
        <w:t>“</w:t>
      </w:r>
      <w:r>
        <w:rPr>
          <w:rFonts w:hint="default" w:ascii="Times New Roman" w:hAnsi="Times New Roman" w:eastAsia="宋体" w:cs="Times New Roman"/>
          <w:kern w:val="0"/>
          <w:sz w:val="28"/>
          <w:szCs w:val="28"/>
          <w:shd w:val="clear" w:color="auto" w:fill="FFFFFF"/>
        </w:rPr>
        <w:t>右玉</w:t>
      </w:r>
      <w:r>
        <w:rPr>
          <w:rFonts w:hint="eastAsia" w:eastAsia="宋体" w:cs="Times New Roman"/>
          <w:kern w:val="0"/>
          <w:sz w:val="28"/>
          <w:szCs w:val="28"/>
          <w:shd w:val="clear" w:color="auto" w:fill="FFFFFF"/>
          <w:lang w:eastAsia="zh-CN"/>
        </w:rPr>
        <w:t>”</w:t>
      </w:r>
      <w:r>
        <w:rPr>
          <w:rFonts w:hint="default" w:ascii="Times New Roman" w:hAnsi="Times New Roman" w:eastAsia="宋体" w:cs="Times New Roman"/>
          <w:kern w:val="0"/>
          <w:sz w:val="28"/>
          <w:szCs w:val="28"/>
          <w:shd w:val="clear" w:color="auto" w:fill="FFFFFF"/>
        </w:rPr>
        <w:t>精神，进一步明晰河湖管理范围和水域岸线功能，按照</w:t>
      </w:r>
      <w:r>
        <w:rPr>
          <w:rFonts w:hint="eastAsia" w:eastAsia="宋体" w:cs="Times New Roman"/>
          <w:kern w:val="0"/>
          <w:sz w:val="28"/>
          <w:szCs w:val="28"/>
          <w:shd w:val="clear" w:color="auto" w:fill="FFFFFF"/>
          <w:lang w:eastAsia="zh-CN"/>
        </w:rPr>
        <w:t>“</w:t>
      </w:r>
      <w:r>
        <w:rPr>
          <w:rFonts w:hint="default" w:ascii="Times New Roman" w:hAnsi="Times New Roman" w:eastAsia="宋体" w:cs="Times New Roman"/>
          <w:kern w:val="0"/>
          <w:sz w:val="28"/>
          <w:szCs w:val="28"/>
          <w:shd w:val="clear" w:color="auto" w:fill="FFFFFF"/>
        </w:rPr>
        <w:t>严保护、重治理、提质量</w:t>
      </w:r>
      <w:r>
        <w:rPr>
          <w:rFonts w:hint="eastAsia" w:eastAsia="宋体" w:cs="Times New Roman"/>
          <w:kern w:val="0"/>
          <w:sz w:val="28"/>
          <w:szCs w:val="28"/>
          <w:shd w:val="clear" w:color="auto" w:fill="FFFFFF"/>
          <w:lang w:eastAsia="zh-CN"/>
        </w:rPr>
        <w:t>”</w:t>
      </w:r>
      <w:r>
        <w:rPr>
          <w:rFonts w:hint="default" w:ascii="Times New Roman" w:hAnsi="Times New Roman" w:eastAsia="宋体" w:cs="Times New Roman"/>
          <w:kern w:val="0"/>
          <w:sz w:val="28"/>
          <w:szCs w:val="28"/>
          <w:shd w:val="clear" w:color="auto" w:fill="FFFFFF"/>
        </w:rPr>
        <w:t>的思路，提升水生态系统质量和稳定性，通过</w:t>
      </w:r>
      <w:r>
        <w:rPr>
          <w:rFonts w:hint="eastAsia" w:eastAsia="宋体" w:cs="Times New Roman"/>
          <w:kern w:val="0"/>
          <w:sz w:val="28"/>
          <w:szCs w:val="28"/>
          <w:shd w:val="clear" w:color="auto" w:fill="FFFFFF"/>
          <w:lang w:eastAsia="zh-CN"/>
        </w:rPr>
        <w:t>“</w:t>
      </w:r>
      <w:r>
        <w:rPr>
          <w:rFonts w:hint="default" w:ascii="Times New Roman" w:hAnsi="Times New Roman" w:eastAsia="宋体" w:cs="Times New Roman"/>
          <w:kern w:val="0"/>
          <w:sz w:val="28"/>
          <w:szCs w:val="28"/>
          <w:shd w:val="clear" w:color="auto" w:fill="FFFFFF"/>
        </w:rPr>
        <w:t>清四乱</w:t>
      </w:r>
      <w:r>
        <w:rPr>
          <w:rFonts w:hint="eastAsia" w:eastAsia="宋体" w:cs="Times New Roman"/>
          <w:kern w:val="0"/>
          <w:sz w:val="28"/>
          <w:szCs w:val="28"/>
          <w:shd w:val="clear" w:color="auto" w:fill="FFFFFF"/>
          <w:lang w:eastAsia="zh-CN"/>
        </w:rPr>
        <w:t>”</w:t>
      </w:r>
      <w:r>
        <w:rPr>
          <w:rFonts w:hint="default" w:ascii="Times New Roman" w:hAnsi="Times New Roman" w:eastAsia="宋体" w:cs="Times New Roman"/>
          <w:kern w:val="0"/>
          <w:sz w:val="28"/>
          <w:szCs w:val="28"/>
          <w:shd w:val="clear" w:color="auto" w:fill="FFFFFF"/>
        </w:rPr>
        <w:t>常态化、规范化加大河道保护修复和水环境综合治理力度，扎实开展沁河及其重要支流大治理等工作，多措并举，全面规范河道管理，建设造福人民的幸福河。</w:t>
      </w:r>
    </w:p>
    <w:p w14:paraId="7FFE410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eastAsia="zh-CN"/>
        </w:rPr>
        <w:t>“</w:t>
      </w:r>
      <w:r>
        <w:rPr>
          <w:rFonts w:hint="eastAsia" w:eastAsia="宋体" w:cs="Times New Roman"/>
          <w:sz w:val="28"/>
          <w:szCs w:val="28"/>
          <w:lang w:val="en-US" w:eastAsia="zh-CN"/>
        </w:rPr>
        <w:t>十四五</w:t>
      </w:r>
      <w:r>
        <w:rPr>
          <w:rFonts w:hint="eastAsia" w:eastAsia="宋体" w:cs="Times New Roman"/>
          <w:sz w:val="28"/>
          <w:szCs w:val="28"/>
          <w:lang w:eastAsia="zh-CN"/>
        </w:rPr>
        <w:t>”</w:t>
      </w:r>
      <w:r>
        <w:rPr>
          <w:rFonts w:hint="eastAsia" w:eastAsia="宋体" w:cs="Times New Roman"/>
          <w:sz w:val="28"/>
          <w:szCs w:val="28"/>
          <w:lang w:val="en-US" w:eastAsia="zh-CN"/>
        </w:rPr>
        <w:t>期间拟进行的丹河干流水生态修复治理、北石店河水生态修复治理、巴公河水生态修复治理、长河流域生态修复治理二期、长河周村段河道治理（圪套水库—石淙头）、白水河泽州县段河道治理、泽州县犁川河上游河道治理、白洋泉河河道治理。</w:t>
      </w:r>
    </w:p>
    <w:p w14:paraId="4F83DBB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同时对长河水库、白水河水库、庾能水库及彭沟水库进行除险加固，进一步保障防洪安全。在大中小型水库建设水雨情测报设施，建立泽州县水库安全智慧感知融合预警系统。雨水情测报系统由库容水位（库容）监测、降雨量监测、视频监控等组成。大坝安全监测系统由变形监测、渗流监测、渗流量监测、必备专业工具等组成。县级监管系统由控制系统、报警系统组成。项目总投资1081.56万元。“十四五”期间，对全县23座水库进行标准化建设，主要建设内容为基础建设（完善水库管理制度、修缮水库管理用房、设计安装水库标识）、运行建设（对水库坝容坝貌进行提、对水库进行档案建立和完善工作）、安全建设（完善水库水尺和汛限水位标识、补充水库防汛物资、新建水库防汛物料池）、感知系统建设（建立水库水位、降雨量、图像监测设备）、软件信息化（建设水库运行平台和水库管理手机APP，实现水库管理信息化），总投资1300万元，实施周期为2021年~2025年。</w:t>
      </w:r>
    </w:p>
    <w:p w14:paraId="1249CD6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lang w:val="en-US" w:eastAsia="zh-CN"/>
        </w:rPr>
      </w:pPr>
      <w:r>
        <w:rPr>
          <w:rFonts w:hint="eastAsia" w:eastAsia="宋体" w:cs="Times New Roman"/>
          <w:sz w:val="28"/>
          <w:szCs w:val="28"/>
          <w:lang w:val="en-US" w:eastAsia="zh-CN"/>
        </w:rPr>
        <w:t>“</w:t>
      </w:r>
      <w:r>
        <w:rPr>
          <w:rFonts w:hint="default" w:eastAsia="宋体" w:cs="Times New Roman"/>
          <w:sz w:val="28"/>
          <w:szCs w:val="28"/>
          <w:lang w:val="en-US" w:eastAsia="zh-CN"/>
        </w:rPr>
        <w:t>十四五</w:t>
      </w:r>
      <w:r>
        <w:rPr>
          <w:rFonts w:hint="eastAsia" w:eastAsia="宋体" w:cs="Times New Roman"/>
          <w:sz w:val="28"/>
          <w:szCs w:val="28"/>
          <w:lang w:val="en-US" w:eastAsia="zh-CN"/>
        </w:rPr>
        <w:t>”</w:t>
      </w:r>
      <w:r>
        <w:rPr>
          <w:rFonts w:hint="default" w:eastAsia="宋体" w:cs="Times New Roman"/>
          <w:sz w:val="28"/>
          <w:szCs w:val="28"/>
          <w:lang w:val="en-US" w:eastAsia="zh-CN"/>
        </w:rPr>
        <w:t>期间，对全县水库进行大坝维修养护，对大坝进行日常养护、缺陷处理、加固改建，以保证其正常和安全运行，发挥应有效益的工程措施。投资共计1000万元，实施周期为2021年~2025年。</w:t>
      </w:r>
    </w:p>
    <w:p w14:paraId="21231A3F">
      <w:pPr>
        <w:widowControl/>
        <w:adjustRightInd/>
        <w:snapToGrid/>
        <w:spacing w:line="240" w:lineRule="auto"/>
        <w:ind w:firstLine="0" w:firstLineChars="0"/>
        <w:jc w:val="left"/>
      </w:pPr>
      <w:r>
        <w:br w:type="page"/>
      </w:r>
    </w:p>
    <w:p w14:paraId="7B494341">
      <w:pPr>
        <w:pStyle w:val="4"/>
      </w:pPr>
      <w:bookmarkStart w:id="98" w:name="_Toc16104"/>
      <w:r>
        <w:rPr>
          <w:rFonts w:hint="eastAsia"/>
          <w:lang w:val="en-US" w:eastAsia="zh-CN"/>
        </w:rPr>
        <w:t>6</w:t>
      </w:r>
      <w:r>
        <w:t>已建在建水利基础设施空间及用地</w:t>
      </w:r>
      <w:bookmarkEnd w:id="98"/>
    </w:p>
    <w:p w14:paraId="15FD6DF4">
      <w:pPr>
        <w:pStyle w:val="5"/>
      </w:pPr>
      <w:bookmarkStart w:id="99" w:name="_Toc28074"/>
      <w:bookmarkStart w:id="100" w:name="_Toc36060094"/>
      <w:r>
        <w:rPr>
          <w:rFonts w:hint="eastAsia"/>
          <w:lang w:val="en-US" w:eastAsia="zh-CN"/>
        </w:rPr>
        <w:t>6.1</w:t>
      </w:r>
      <w:r>
        <w:t>已建水利基础设施状况</w:t>
      </w:r>
      <w:bookmarkEnd w:id="99"/>
      <w:bookmarkEnd w:id="100"/>
    </w:p>
    <w:p w14:paraId="651AB75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1、水资源配置工程</w:t>
      </w:r>
    </w:p>
    <w:p w14:paraId="0762AD3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lang w:val="en-US" w:eastAsia="zh-CN"/>
        </w:rPr>
      </w:pPr>
      <w:r>
        <w:rPr>
          <w:rFonts w:hint="eastAsia" w:eastAsia="宋体" w:cs="Times New Roman"/>
          <w:sz w:val="28"/>
          <w:szCs w:val="28"/>
          <w:lang w:val="en-US" w:eastAsia="zh-CN"/>
        </w:rPr>
        <w:t>（1）水库工程</w:t>
      </w:r>
    </w:p>
    <w:p w14:paraId="061B96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0" w:firstLineChars="200"/>
        <w:textAlignment w:val="auto"/>
        <w:rPr>
          <w:rFonts w:hint="default" w:cs="Times New Roman" w:eastAsiaTheme="minorEastAsia"/>
          <w:sz w:val="28"/>
          <w:szCs w:val="28"/>
          <w:highlight w:val="none"/>
          <w:lang w:val="en-US" w:eastAsia="zh-CN"/>
        </w:rPr>
      </w:pPr>
      <w:r>
        <w:rPr>
          <w:rFonts w:hint="eastAsia" w:eastAsia="宋体" w:cs="Times New Roman"/>
          <w:sz w:val="28"/>
          <w:szCs w:val="28"/>
          <w:lang w:val="en-US" w:eastAsia="zh-CN"/>
        </w:rPr>
        <w:t>泽州县</w:t>
      </w:r>
      <w:r>
        <w:rPr>
          <w:rFonts w:hint="default" w:cs="Times New Roman" w:eastAsiaTheme="minorEastAsia"/>
          <w:sz w:val="28"/>
          <w:szCs w:val="28"/>
          <w:highlight w:val="none"/>
          <w:lang w:val="en-US" w:eastAsia="zh-CN"/>
        </w:rPr>
        <w:t>境内共有</w:t>
      </w:r>
      <w:r>
        <w:rPr>
          <w:rFonts w:hint="eastAsia" w:cs="Times New Roman" w:eastAsiaTheme="minorEastAsia"/>
          <w:sz w:val="28"/>
          <w:szCs w:val="28"/>
          <w:highlight w:val="none"/>
          <w:lang w:val="en-US" w:eastAsia="zh-CN"/>
        </w:rPr>
        <w:t>23</w:t>
      </w:r>
      <w:r>
        <w:rPr>
          <w:rFonts w:hint="default" w:cs="Times New Roman" w:eastAsiaTheme="minorEastAsia"/>
          <w:sz w:val="28"/>
          <w:szCs w:val="28"/>
          <w:highlight w:val="none"/>
          <w:lang w:val="en-US" w:eastAsia="zh-CN"/>
        </w:rPr>
        <w:t>座水库全部进行了大坝注册登记管理，其中：中型水库3座</w:t>
      </w:r>
      <w:r>
        <w:rPr>
          <w:rFonts w:hint="eastAsia" w:cs="Times New Roman" w:eastAsiaTheme="minorEastAsia"/>
          <w:sz w:val="28"/>
          <w:szCs w:val="28"/>
          <w:highlight w:val="none"/>
          <w:lang w:val="en-US" w:eastAsia="zh-CN"/>
        </w:rPr>
        <w:t>，主要包括任庄水库、杜河水库、东焦河水库</w:t>
      </w:r>
      <w:r>
        <w:rPr>
          <w:rFonts w:hint="default" w:cs="Times New Roman" w:eastAsiaTheme="minorEastAsia"/>
          <w:sz w:val="28"/>
          <w:szCs w:val="28"/>
          <w:highlight w:val="none"/>
          <w:lang w:val="en-US" w:eastAsia="zh-CN"/>
        </w:rPr>
        <w:t>（杜河、东焦河水库由市水务局管理），小（</w:t>
      </w:r>
      <w:r>
        <w:rPr>
          <w:rFonts w:hint="eastAsia" w:cs="Times New Roman" w:eastAsiaTheme="minorEastAsia"/>
          <w:sz w:val="28"/>
          <w:szCs w:val="28"/>
          <w:highlight w:val="none"/>
          <w:lang w:val="en-US" w:eastAsia="zh-CN"/>
        </w:rPr>
        <w:t>1</w:t>
      </w:r>
      <w:r>
        <w:rPr>
          <w:rFonts w:hint="default" w:cs="Times New Roman" w:eastAsiaTheme="minorEastAsia"/>
          <w:sz w:val="28"/>
          <w:szCs w:val="28"/>
          <w:highlight w:val="none"/>
          <w:lang w:val="en-US" w:eastAsia="zh-CN"/>
        </w:rPr>
        <w:t>）型水库11座，</w:t>
      </w:r>
      <w:r>
        <w:rPr>
          <w:rFonts w:hint="eastAsia" w:cs="Times New Roman" w:eastAsiaTheme="minorEastAsia"/>
          <w:sz w:val="28"/>
          <w:szCs w:val="28"/>
          <w:highlight w:val="none"/>
          <w:lang w:val="en-US" w:eastAsia="zh-CN"/>
        </w:rPr>
        <w:t>主要包括白水河水库、拴驴泉水库、长河水库、刘村水库、常坡水库、寺河水库、沙沟水库、圪套水库、来村水库、山耳东水库。</w:t>
      </w:r>
      <w:r>
        <w:rPr>
          <w:rFonts w:hint="default" w:cs="Times New Roman" w:eastAsiaTheme="minorEastAsia"/>
          <w:sz w:val="28"/>
          <w:szCs w:val="28"/>
          <w:highlight w:val="none"/>
          <w:lang w:val="en-US" w:eastAsia="zh-CN"/>
        </w:rPr>
        <w:t>小（</w:t>
      </w:r>
      <w:r>
        <w:rPr>
          <w:rFonts w:hint="eastAsia" w:cs="Times New Roman" w:eastAsiaTheme="minorEastAsia"/>
          <w:sz w:val="28"/>
          <w:szCs w:val="28"/>
          <w:highlight w:val="none"/>
          <w:lang w:val="en-US" w:eastAsia="zh-CN"/>
        </w:rPr>
        <w:t>2</w:t>
      </w:r>
      <w:r>
        <w:rPr>
          <w:rFonts w:hint="default" w:cs="Times New Roman" w:eastAsiaTheme="minorEastAsia"/>
          <w:sz w:val="28"/>
          <w:szCs w:val="28"/>
          <w:highlight w:val="none"/>
          <w:lang w:val="en-US" w:eastAsia="zh-CN"/>
        </w:rPr>
        <w:t>）型水库</w:t>
      </w:r>
      <w:r>
        <w:rPr>
          <w:rFonts w:hint="eastAsia" w:cs="Times New Roman" w:eastAsiaTheme="minorEastAsia"/>
          <w:sz w:val="28"/>
          <w:szCs w:val="28"/>
          <w:highlight w:val="none"/>
          <w:lang w:val="en-US" w:eastAsia="zh-CN"/>
        </w:rPr>
        <w:t>9</w:t>
      </w:r>
      <w:r>
        <w:rPr>
          <w:rFonts w:hint="default" w:cs="Times New Roman" w:eastAsiaTheme="minorEastAsia"/>
          <w:sz w:val="28"/>
          <w:szCs w:val="28"/>
          <w:highlight w:val="none"/>
          <w:lang w:val="en-US" w:eastAsia="zh-CN"/>
        </w:rPr>
        <w:t>座</w:t>
      </w:r>
      <w:r>
        <w:rPr>
          <w:rFonts w:hint="eastAsia" w:cs="Times New Roman" w:eastAsiaTheme="minorEastAsia"/>
          <w:sz w:val="28"/>
          <w:szCs w:val="28"/>
          <w:highlight w:val="none"/>
          <w:lang w:val="en-US" w:eastAsia="zh-CN"/>
        </w:rPr>
        <w:t>，冶底水库、万里水库、庾能水库、上掌水库、谷坨沟水库、西张村水库、蔡河水库、西大阳水库、大南沟水库彭沟水库。</w:t>
      </w:r>
    </w:p>
    <w:p w14:paraId="19ACD5A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lang w:val="en-US" w:eastAsia="zh-CN"/>
        </w:rPr>
      </w:pPr>
      <w:r>
        <w:rPr>
          <w:rFonts w:hint="eastAsia" w:eastAsia="宋体" w:cs="Times New Roman"/>
          <w:sz w:val="28"/>
          <w:szCs w:val="28"/>
          <w:lang w:val="en-US" w:eastAsia="zh-CN"/>
        </w:rPr>
        <w:t>（2）供水工程</w:t>
      </w:r>
    </w:p>
    <w:p w14:paraId="0D709E4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泽州县不断完善供水网络，建设了一批县域水网工程、农村供水保障工程保障了县域经济社会发展、城乡居民生活用水需求。泽州县目前共建设工业供水工程 3 项，分别是泽州县任庄水库供水工程、泽州县圪套水库供水工程、张峰水库泽州供水工程。供水保障率得到提高，水资源配置格局进一步优化，张峰水库泽州供水工程巴公区全部完工并投入运行，建加压泵站一座，铺设球墨铸铁管6公里，完成投资2800万元，年可向巴公工业园区企业供水1375万方；任庄水库地表水建成了泽州县润通供水有限公司，供山西兰花清洁能源有限公司生产用水及晋城市区两河生态用水，泽州县润通供水有限公司年供水量为500万m</w:t>
      </w:r>
      <w:r>
        <w:rPr>
          <w:rFonts w:hint="eastAsia" w:eastAsia="宋体" w:cs="Times New Roman"/>
          <w:sz w:val="28"/>
          <w:szCs w:val="28"/>
          <w:vertAlign w:val="superscript"/>
          <w:lang w:val="en-US" w:eastAsia="zh-CN"/>
        </w:rPr>
        <w:t>3</w:t>
      </w:r>
      <w:r>
        <w:rPr>
          <w:rFonts w:hint="eastAsia" w:eastAsia="宋体" w:cs="Times New Roman"/>
          <w:sz w:val="28"/>
          <w:szCs w:val="28"/>
          <w:lang w:val="en-US" w:eastAsia="zh-CN"/>
        </w:rPr>
        <w:t>（P=50%）由泽州县任庄水库事务中心负责任庄水库灌溉任务。，项目总取水量为184.28万m³/a（P=50%）；圪套水库提水工程全部完工并投入运行，铺设球墨铸铁管10公里，完成投资1620万元，与杜河提水工程连通，年可向周村工业园区晋煤华昱公司供水300万方。</w:t>
      </w:r>
    </w:p>
    <w:p w14:paraId="045BD4B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2、水旱灾害防御工程</w:t>
      </w:r>
    </w:p>
    <w:p w14:paraId="732F240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工程与非工程措施并举，水旱灾害防御能力显著提升。</w:t>
      </w:r>
    </w:p>
    <w:p w14:paraId="6F640A4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泽州县重点实施了周村工业园区防洪治理工程，排洪渠和排洪涵洞主体工程已全部完工，完成投资3000万元。每年修订《泽州县中小水库、山洪灾害应急预案》，全面加强山洪灾害预警预报系统的整合运用，深入贯彻落实以行政首长负责制为核心的各项防汛责任制，县乡村三级防汛体系进一步完善，防汛预警和指挥调度的信息化水平不断提升，实现了全县安全度汛，保障了人民群众生命财产安全和经济社会发展。全县境内共有23座水库全部进行了大坝注册登记管理，其中：中型水库3座（杜河、东焦河水库由市水务局管理），小（1）型水库11座，小（2）型水库9座。完成21座水库的安全鉴定和23座水库的确权划界报告编制，完成任庄中型水库和11座小（1）型水库的标准化建设，由县水务局成立丹河、长河河库管理站对18座小型水库进行统一管理；建立了河道堤防安全包保责任体系，完成了13条流域面积50km</w:t>
      </w:r>
      <w:r>
        <w:rPr>
          <w:rFonts w:hint="eastAsia" w:eastAsia="宋体" w:cs="Times New Roman"/>
          <w:sz w:val="28"/>
          <w:szCs w:val="28"/>
          <w:vertAlign w:val="superscript"/>
          <w:lang w:val="en-US" w:eastAsia="zh-CN"/>
        </w:rPr>
        <w:t>2</w:t>
      </w:r>
      <w:r>
        <w:rPr>
          <w:rFonts w:hint="eastAsia" w:eastAsia="宋体" w:cs="Times New Roman"/>
          <w:sz w:val="28"/>
          <w:szCs w:val="28"/>
          <w:lang w:val="en-US" w:eastAsia="zh-CN"/>
        </w:rPr>
        <w:t>以上河道管理范围划界工作；开展了山洪灾害调查评价，建立了山洪灾害监测预警体系，建设了县级山洪灾害监测预警平台；在沁河干流和主要支流建设了水文站，完成部分小型水库雨水情测报和小型水库大坝安全监测设施建设，构建了汛期雨情监测和会商研判系统，为水工程调度提供技术指导；正在加快推进具有“四预”(预报、预警、预演、预案)功能的智慧水利体系建设。全县水旱灾害防御能力全面提高，有效应对了近几年的汛情，保障了人民群众生命财产安全。</w:t>
      </w:r>
    </w:p>
    <w:p w14:paraId="7B177C6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(3)河湖生态治理工程</w:t>
      </w:r>
    </w:p>
    <w:p w14:paraId="24B1AAA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推进水土保持工程建设，水土流失面积及流失强度显著下降。坚持山水林田湖草沙系统治理，主要包括国家农业综合开发山河片、生态清洁型流域大箕片、东沟常坡河底流域片和泽州县东沟贾泉、周村李家山淤地坝除险加固工程等，完成投资9660万元，完成水土流失治理面积181km</w:t>
      </w:r>
      <w:r>
        <w:rPr>
          <w:rFonts w:hint="eastAsia" w:eastAsia="宋体" w:cs="Times New Roman"/>
          <w:sz w:val="28"/>
          <w:szCs w:val="28"/>
          <w:vertAlign w:val="superscript"/>
          <w:lang w:val="en-US" w:eastAsia="zh-CN"/>
        </w:rPr>
        <w:t>2</w:t>
      </w:r>
      <w:r>
        <w:rPr>
          <w:rFonts w:hint="eastAsia" w:eastAsia="宋体" w:cs="Times New Roman"/>
          <w:sz w:val="28"/>
          <w:szCs w:val="28"/>
          <w:lang w:val="en-US" w:eastAsia="zh-CN"/>
        </w:rPr>
        <w:t>。</w:t>
      </w:r>
    </w:p>
    <w:p w14:paraId="6E28DD8C">
      <w:pPr>
        <w:pStyle w:val="5"/>
      </w:pPr>
      <w:bookmarkStart w:id="101" w:name="_Toc36060104"/>
      <w:bookmarkStart w:id="102" w:name="_Toc13506"/>
      <w:r>
        <w:rPr>
          <w:rFonts w:hint="eastAsia"/>
          <w:lang w:val="en-US" w:eastAsia="zh-CN"/>
        </w:rPr>
        <w:t>6.2</w:t>
      </w:r>
      <w:r>
        <w:t>已建水利基础设施</w:t>
      </w:r>
      <w:bookmarkEnd w:id="101"/>
      <w:r>
        <w:t>规模及用地情况</w:t>
      </w:r>
      <w:bookmarkEnd w:id="102"/>
    </w:p>
    <w:p w14:paraId="20EA9EDC">
      <w:pPr>
        <w:pStyle w:val="6"/>
      </w:pPr>
      <w:bookmarkStart w:id="103" w:name="_Toc36060105"/>
      <w:r>
        <w:rPr>
          <w:rFonts w:hint="eastAsia"/>
          <w:lang w:val="en-US" w:eastAsia="zh-CN"/>
        </w:rPr>
        <w:t>6.2.1</w:t>
      </w:r>
      <w:r>
        <w:t>水库</w:t>
      </w:r>
      <w:r>
        <w:rPr>
          <w:rFonts w:hint="eastAsia"/>
          <w:lang w:eastAsia="zh-CN"/>
        </w:rPr>
        <w:t>（水电站）</w:t>
      </w:r>
      <w:r>
        <w:t>工程</w:t>
      </w:r>
      <w:bookmarkEnd w:id="103"/>
    </w:p>
    <w:p w14:paraId="756D458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eastAsia="宋体"/>
          <w:sz w:val="28"/>
          <w:szCs w:val="28"/>
        </w:rPr>
        <w:t>已建</w:t>
      </w:r>
      <w:r>
        <w:rPr>
          <w:rFonts w:hint="eastAsia" w:eastAsia="宋体"/>
          <w:sz w:val="28"/>
          <w:szCs w:val="28"/>
          <w:lang w:val="en-US" w:eastAsia="zh-CN"/>
        </w:rPr>
        <w:t>中</w:t>
      </w:r>
      <w:r>
        <w:rPr>
          <w:rFonts w:hint="eastAsia" w:eastAsia="宋体"/>
          <w:sz w:val="28"/>
          <w:szCs w:val="28"/>
          <w:lang w:eastAsia="zh-CN"/>
        </w:rPr>
        <w:t>小</w:t>
      </w:r>
      <w:r>
        <w:rPr>
          <w:rFonts w:eastAsia="宋体"/>
          <w:sz w:val="28"/>
          <w:szCs w:val="28"/>
        </w:rPr>
        <w:t>型水库</w:t>
      </w:r>
      <w:r>
        <w:rPr>
          <w:rFonts w:hint="eastAsia" w:eastAsia="宋体"/>
          <w:sz w:val="28"/>
          <w:szCs w:val="28"/>
          <w:lang w:val="en-US" w:eastAsia="zh-CN"/>
        </w:rPr>
        <w:t>23</w:t>
      </w:r>
      <w:r>
        <w:rPr>
          <w:rFonts w:eastAsia="宋体"/>
          <w:sz w:val="28"/>
          <w:szCs w:val="28"/>
        </w:rPr>
        <w:t>座，</w:t>
      </w:r>
      <w:r>
        <w:rPr>
          <w:rFonts w:hint="eastAsia" w:eastAsia="宋体"/>
          <w:sz w:val="28"/>
          <w:szCs w:val="28"/>
          <w:lang w:eastAsia="zh-CN"/>
        </w:rPr>
        <w:t>其中</w:t>
      </w:r>
      <w:r>
        <w:rPr>
          <w:rFonts w:hint="eastAsia" w:eastAsia="宋体"/>
          <w:sz w:val="28"/>
          <w:szCs w:val="28"/>
          <w:lang w:val="en-US" w:eastAsia="zh-CN"/>
        </w:rPr>
        <w:t>中型水库3座，小型水库20座</w:t>
      </w:r>
      <w:r>
        <w:rPr>
          <w:rFonts w:eastAsia="宋体"/>
          <w:sz w:val="28"/>
          <w:szCs w:val="28"/>
        </w:rPr>
        <w:t>，均为上世纪六七十年代兴建。</w:t>
      </w:r>
    </w:p>
    <w:p w14:paraId="5E78578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pPr>
      <w:r>
        <w:rPr>
          <w:rFonts w:hint="eastAsia" w:eastAsia="宋体"/>
          <w:sz w:val="28"/>
          <w:szCs w:val="28"/>
          <w:lang w:val="en-US" w:eastAsia="zh-CN"/>
        </w:rPr>
        <w:t>已</w:t>
      </w:r>
      <w:r>
        <w:rPr>
          <w:rFonts w:eastAsia="宋体"/>
          <w:sz w:val="28"/>
          <w:szCs w:val="28"/>
        </w:rPr>
        <w:t>建的、以发电为主的枢纽工程有</w:t>
      </w:r>
      <w:r>
        <w:rPr>
          <w:rFonts w:hint="eastAsia" w:eastAsia="宋体"/>
          <w:sz w:val="28"/>
          <w:szCs w:val="28"/>
          <w:lang w:eastAsia="zh-CN"/>
        </w:rPr>
        <w:t>拴驴泉</w:t>
      </w:r>
      <w:r>
        <w:rPr>
          <w:rFonts w:hint="eastAsia" w:eastAsia="宋体"/>
          <w:sz w:val="28"/>
          <w:szCs w:val="28"/>
          <w:lang w:val="en-US" w:eastAsia="zh-CN"/>
        </w:rPr>
        <w:t>水库及</w:t>
      </w:r>
      <w:r>
        <w:rPr>
          <w:rFonts w:hint="eastAsia" w:eastAsia="宋体"/>
          <w:sz w:val="28"/>
          <w:szCs w:val="28"/>
          <w:lang w:eastAsia="zh-CN"/>
        </w:rPr>
        <w:t>白水河</w:t>
      </w:r>
      <w:r>
        <w:rPr>
          <w:rFonts w:hint="eastAsia" w:eastAsia="宋体"/>
          <w:sz w:val="28"/>
          <w:szCs w:val="28"/>
          <w:lang w:val="en-US" w:eastAsia="zh-CN"/>
        </w:rPr>
        <w:t>水库</w:t>
      </w:r>
      <w:r>
        <w:rPr>
          <w:rFonts w:eastAsia="宋体"/>
          <w:sz w:val="28"/>
          <w:szCs w:val="28"/>
        </w:rPr>
        <w:t>。</w:t>
      </w:r>
    </w:p>
    <w:p w14:paraId="6EB31BA3">
      <w:pPr>
        <w:spacing w:line="580" w:lineRule="exact"/>
        <w:ind w:firstLine="560"/>
        <w:rPr>
          <w:rFonts w:eastAsia="宋体"/>
          <w:color w:val="FF0000"/>
          <w:sz w:val="28"/>
          <w:szCs w:val="28"/>
          <w:highlight w:val="none"/>
        </w:rPr>
      </w:pPr>
    </w:p>
    <w:p w14:paraId="3DFF3580">
      <w:pPr>
        <w:pStyle w:val="2"/>
        <w:rPr>
          <w:rFonts w:eastAsia="宋体"/>
          <w:color w:val="FF0000"/>
          <w:sz w:val="28"/>
          <w:szCs w:val="28"/>
          <w:highlight w:val="none"/>
        </w:rPr>
        <w:sectPr>
          <w:footerReference r:id="rId18" w:type="default"/>
          <w:pgSz w:w="11905" w:h="16838"/>
          <w:pgMar w:top="1417" w:right="1587" w:bottom="1417" w:left="1587" w:header="851" w:footer="1020" w:gutter="0"/>
          <w:pgBorders>
            <w:top w:val="none" w:sz="0" w:space="0"/>
            <w:left w:val="none" w:sz="0" w:space="0"/>
            <w:bottom w:val="none" w:sz="0" w:space="0"/>
            <w:right w:val="none" w:sz="0" w:space="0"/>
          </w:pgBorders>
          <w:pgNumType w:fmt="decimal" w:start="1"/>
          <w:cols w:space="0" w:num="1"/>
          <w:rtlGutter w:val="0"/>
          <w:docGrid w:linePitch="312" w:charSpace="0"/>
        </w:sectPr>
      </w:pPr>
    </w:p>
    <w:p w14:paraId="1FBFA7CB">
      <w:pPr>
        <w:pStyle w:val="31"/>
      </w:pPr>
    </w:p>
    <w:p w14:paraId="5015CFFD">
      <w:pPr>
        <w:pStyle w:val="180"/>
        <w:spacing w:beforeLines="50" w:line="500" w:lineRule="exact"/>
        <w:ind w:firstLine="562"/>
        <w:jc w:val="center"/>
        <w:rPr>
          <w:rFonts w:ascii="Times New Roman" w:hAnsi="Times New Roman"/>
          <w:b/>
        </w:rPr>
      </w:pPr>
      <w:r>
        <w:rPr>
          <w:rFonts w:hint="eastAsia" w:ascii="Times New Roman" w:hAnsi="Times New Roman"/>
          <w:b/>
          <w:lang w:val="en-US" w:eastAsia="zh-CN"/>
        </w:rPr>
        <w:t>泽州县</w:t>
      </w:r>
      <w:r>
        <w:rPr>
          <w:rFonts w:hint="eastAsia" w:ascii="Times New Roman" w:hAnsi="Times New Roman"/>
          <w:b/>
          <w:lang w:eastAsia="zh-CN"/>
        </w:rPr>
        <w:t>水利基础设施空间规划水库划界成果表</w:t>
      </w:r>
    </w:p>
    <w:p w14:paraId="04634EE0">
      <w:pPr>
        <w:pStyle w:val="180"/>
        <w:spacing w:line="240" w:lineRule="auto"/>
        <w:ind w:firstLine="0" w:firstLineChars="0"/>
      </w:pPr>
      <w:r>
        <w:rPr>
          <w:rFonts w:ascii="Times New Roman" w:hAnsi="Times New Roman"/>
          <w:sz w:val="24"/>
          <w:szCs w:val="24"/>
        </w:rPr>
        <w:t>表</w:t>
      </w:r>
      <w:r>
        <w:rPr>
          <w:rFonts w:hint="eastAsia" w:ascii="Times New Roman" w:hAnsi="Times New Roman"/>
          <w:sz w:val="24"/>
          <w:szCs w:val="24"/>
          <w:lang w:val="en-US" w:eastAsia="zh-CN"/>
        </w:rPr>
        <w:t>6.2-1</w:t>
      </w:r>
    </w:p>
    <w:tbl>
      <w:tblPr>
        <w:tblStyle w:val="32"/>
        <w:tblW w:w="44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6"/>
        <w:gridCol w:w="1375"/>
        <w:gridCol w:w="2547"/>
        <w:gridCol w:w="1881"/>
        <w:gridCol w:w="1895"/>
        <w:gridCol w:w="1394"/>
        <w:gridCol w:w="1394"/>
        <w:gridCol w:w="1395"/>
      </w:tblGrid>
      <w:tr w14:paraId="0F649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blHeader/>
          <w:jc w:val="center"/>
        </w:trPr>
        <w:tc>
          <w:tcPr>
            <w:tcW w:w="24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BD2ED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5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DEFD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水库名称</w:t>
            </w:r>
          </w:p>
        </w:tc>
        <w:tc>
          <w:tcPr>
            <w:tcW w:w="10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E7B1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所在地</w:t>
            </w:r>
          </w:p>
        </w:tc>
        <w:tc>
          <w:tcPr>
            <w:tcW w:w="75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8695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所在河流</w:t>
            </w:r>
          </w:p>
        </w:tc>
        <w:tc>
          <w:tcPr>
            <w:tcW w:w="7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35E0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水库主管部门</w:t>
            </w:r>
          </w:p>
        </w:tc>
        <w:tc>
          <w:tcPr>
            <w:tcW w:w="5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7E18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大坝管理范围（km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c>
          <w:tcPr>
            <w:tcW w:w="5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F079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水库库区</w:t>
            </w:r>
          </w:p>
          <w:p w14:paraId="6B3CAC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管理范围（km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c>
          <w:tcPr>
            <w:tcW w:w="55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21691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水库库区水面范围（km</w:t>
            </w:r>
            <w:r>
              <w:rPr>
                <w:rFonts w:hint="default"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w:t>
            </w:r>
          </w:p>
        </w:tc>
      </w:tr>
      <w:tr w14:paraId="1C97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16E569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0BA032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白水河水库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333F84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泽州县大箕镇孔庄村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7E10A4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丹河支流白水河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0FAFF2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6369DF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w:t>
            </w:r>
          </w:p>
        </w:tc>
        <w:tc>
          <w:tcPr>
            <w:tcW w:w="5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4FD3D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w:t>
            </w:r>
          </w:p>
        </w:tc>
        <w:tc>
          <w:tcPr>
            <w:tcW w:w="55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AA1B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0.21</w:t>
            </w:r>
          </w:p>
        </w:tc>
      </w:tr>
      <w:tr w14:paraId="323B5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29BB7F5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77469B1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拴驴泉水库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2F442C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泽州县山河镇小驴圈村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3EDE2E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沁河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79F3FE3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92104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74FA6A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498AA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0.33</w:t>
            </w:r>
          </w:p>
        </w:tc>
      </w:tr>
      <w:tr w14:paraId="32627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72C7ED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7FF598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620AA62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泽州县下村镇大南庄村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031E41F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73B969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DE335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0.31</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6669288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0.41</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FC995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0.38</w:t>
            </w:r>
          </w:p>
        </w:tc>
      </w:tr>
      <w:tr w14:paraId="5BEF9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7EE898A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156759A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刘村水库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03752A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泽州县下村镇刘村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766266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20C4BD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3F5F5E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0.10</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1E10EA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0.20</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1FC3A8A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w:t>
            </w:r>
          </w:p>
        </w:tc>
      </w:tr>
      <w:tr w14:paraId="34350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6D49EC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0323BF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常坡水库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2A2CD3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泽州县东沟镇常坡村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2B236B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52DDE8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E6794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0.16</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726CC1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0.24</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1AF5B5F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0.23</w:t>
            </w:r>
          </w:p>
        </w:tc>
      </w:tr>
      <w:tr w14:paraId="234A3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2C7B9B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2B506C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寺河水库</w:t>
            </w:r>
          </w:p>
        </w:tc>
        <w:tc>
          <w:tcPr>
            <w:tcW w:w="1019" w:type="pct"/>
            <w:tcBorders>
              <w:top w:val="nil"/>
              <w:left w:val="single" w:color="000000" w:sz="8" w:space="0"/>
              <w:bottom w:val="single" w:color="000000" w:sz="8" w:space="0"/>
              <w:right w:val="single" w:color="000000" w:sz="8" w:space="0"/>
            </w:tcBorders>
            <w:shd w:val="clear" w:color="auto" w:fill="auto"/>
            <w:vAlign w:val="center"/>
          </w:tcPr>
          <w:p w14:paraId="29C2B5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泽州县川底乡寺河村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286DC77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长河支流小河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6E4336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05D2EB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88ACE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6AC9FCB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w:t>
            </w:r>
          </w:p>
        </w:tc>
      </w:tr>
      <w:tr w14:paraId="2D269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7F3FEA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4D6590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沙沟水库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4A93C7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泽州县川底乡沙沟村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1D419C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长河支流拐河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47ECFA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1927A6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265809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6714AC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0.17</w:t>
            </w:r>
          </w:p>
        </w:tc>
      </w:tr>
      <w:tr w14:paraId="2B552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573F44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01DEAE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圪套水库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65E0BDD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泽州县周村镇下町村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46C1D2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7E454A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79CFE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0.13</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F357B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0.63</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2AEE529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0.58</w:t>
            </w:r>
          </w:p>
        </w:tc>
      </w:tr>
      <w:tr w14:paraId="1D15A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4ACC08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3F1123A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来村水库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3EB0777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泽州县巴公镇来村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7EFCF3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巴公河支流大阳河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539BC6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2D40E9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711A3A4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0.37</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3E1FC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0.28</w:t>
            </w:r>
          </w:p>
        </w:tc>
      </w:tr>
      <w:tr w14:paraId="6AD53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1CFCB6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10</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735DF8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山耳东水库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3BABA6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泽州县巴公镇山耳东村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18943B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巴公河支流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4875D1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3BA01E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72ABFB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7E9BBCE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0.18</w:t>
            </w:r>
          </w:p>
        </w:tc>
      </w:tr>
      <w:tr w14:paraId="2F726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54A73F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11</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731C3D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冶底水库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2D010D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城区南村镇冶底村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588E30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沁河支流冶底河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3CBE8A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城区水务局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378E7C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37537A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0.03</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1A2F4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w:t>
            </w:r>
          </w:p>
        </w:tc>
      </w:tr>
      <w:tr w14:paraId="1E2EE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13857E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12</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47D468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万里水库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429EBE9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泽州县下村镇万里村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0452D5E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沁河支流长河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558361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20CFE7C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0.72</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34FAFD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25F2B0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0.11</w:t>
            </w:r>
          </w:p>
        </w:tc>
      </w:tr>
      <w:tr w14:paraId="69DBD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24520B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13</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6CD59D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庚能水库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65C6965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晋城市泽州县大东沟镇庾能村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37A7B8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7B1D3AB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1CA3FD5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7A342E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358C0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r>
      <w:tr w14:paraId="45F42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347BC1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14</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67A85A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上掌水库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0CAEED8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晋城市泽州县周村镇上掌村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73B0818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65B9AC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5F07FF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3259B4A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2F790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r>
      <w:tr w14:paraId="132A1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0D9ED0C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15</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307C36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谷坨沟水库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322521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泽州县李寨乡谷坨沟村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5D3F37E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长河支流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454016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69C2740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0.05</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344312E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67DA3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w:t>
            </w:r>
          </w:p>
        </w:tc>
      </w:tr>
      <w:tr w14:paraId="282F2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3A5609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w:t>
            </w:r>
            <w:r>
              <w:rPr>
                <w:rFonts w:hint="eastAsia" w:eastAsia="宋体" w:cs="Times New Roman"/>
                <w:i w:val="0"/>
                <w:iCs w:val="0"/>
                <w:color w:val="000000"/>
                <w:kern w:val="0"/>
                <w:sz w:val="24"/>
                <w:szCs w:val="24"/>
                <w:u w:val="none"/>
                <w:lang w:val="en-US" w:eastAsia="zh-CN" w:bidi="ar"/>
              </w:rPr>
              <w:t>6</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1AECA6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西张村水库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710357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泽州县北义城镇西张村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5E955B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丹河支流巴公河支流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6B6C8F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A91C6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58AA784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1AA29E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0.04</w:t>
            </w:r>
          </w:p>
        </w:tc>
      </w:tr>
      <w:tr w14:paraId="04D62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6DB941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w:t>
            </w:r>
            <w:r>
              <w:rPr>
                <w:rFonts w:hint="eastAsia" w:eastAsia="宋体" w:cs="Times New Roman"/>
                <w:i w:val="0"/>
                <w:iCs w:val="0"/>
                <w:color w:val="000000"/>
                <w:kern w:val="0"/>
                <w:sz w:val="24"/>
                <w:szCs w:val="24"/>
                <w:u w:val="none"/>
                <w:lang w:val="en-US" w:eastAsia="zh-CN" w:bidi="ar"/>
              </w:rPr>
              <w:t>7</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45B1D5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蔡河水库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20C3E3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泽州县北义城镇蔡河村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14DE639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丹河支流</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50D3830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3AA66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A0135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0.19</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485CF3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0.14</w:t>
            </w:r>
          </w:p>
        </w:tc>
      </w:tr>
      <w:tr w14:paraId="0933E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000000" w:sz="8" w:space="0"/>
              <w:right w:val="single" w:color="000000" w:sz="8" w:space="0"/>
            </w:tcBorders>
            <w:shd w:val="clear" w:color="auto" w:fill="auto"/>
            <w:noWrap/>
            <w:vAlign w:val="center"/>
          </w:tcPr>
          <w:p w14:paraId="5ED1049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1</w:t>
            </w:r>
            <w:r>
              <w:rPr>
                <w:rFonts w:hint="eastAsia" w:eastAsia="宋体" w:cs="Times New Roman"/>
                <w:i w:val="0"/>
                <w:iCs w:val="0"/>
                <w:color w:val="000000"/>
                <w:kern w:val="0"/>
                <w:sz w:val="24"/>
                <w:szCs w:val="24"/>
                <w:u w:val="none"/>
                <w:lang w:val="en-US" w:eastAsia="zh-CN" w:bidi="ar"/>
              </w:rPr>
              <w:t>8</w:t>
            </w:r>
          </w:p>
        </w:tc>
        <w:tc>
          <w:tcPr>
            <w:tcW w:w="550" w:type="pct"/>
            <w:tcBorders>
              <w:top w:val="nil"/>
              <w:left w:val="single" w:color="000000" w:sz="8" w:space="0"/>
              <w:bottom w:val="single" w:color="000000" w:sz="8" w:space="0"/>
              <w:right w:val="single" w:color="000000" w:sz="8" w:space="0"/>
            </w:tcBorders>
            <w:shd w:val="clear" w:color="auto" w:fill="auto"/>
            <w:noWrap/>
            <w:vAlign w:val="center"/>
          </w:tcPr>
          <w:p w14:paraId="684CDD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西大阳水库</w:t>
            </w:r>
          </w:p>
        </w:tc>
        <w:tc>
          <w:tcPr>
            <w:tcW w:w="1019" w:type="pct"/>
            <w:tcBorders>
              <w:top w:val="nil"/>
              <w:left w:val="single" w:color="000000" w:sz="8" w:space="0"/>
              <w:bottom w:val="single" w:color="000000" w:sz="8" w:space="0"/>
              <w:right w:val="single" w:color="000000" w:sz="8" w:space="0"/>
            </w:tcBorders>
            <w:shd w:val="clear" w:color="auto" w:fill="auto"/>
            <w:noWrap/>
            <w:vAlign w:val="center"/>
          </w:tcPr>
          <w:p w14:paraId="0A6D1A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泽州县大阳镇西大阳村</w:t>
            </w:r>
          </w:p>
        </w:tc>
        <w:tc>
          <w:tcPr>
            <w:tcW w:w="753" w:type="pct"/>
            <w:tcBorders>
              <w:top w:val="nil"/>
              <w:left w:val="single" w:color="000000" w:sz="8" w:space="0"/>
              <w:bottom w:val="single" w:color="000000" w:sz="8" w:space="0"/>
              <w:right w:val="single" w:color="000000" w:sz="8" w:space="0"/>
            </w:tcBorders>
            <w:shd w:val="clear" w:color="auto" w:fill="auto"/>
            <w:noWrap/>
            <w:vAlign w:val="center"/>
          </w:tcPr>
          <w:p w14:paraId="53C087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丹河-巴公河-大阳河</w:t>
            </w:r>
          </w:p>
        </w:tc>
        <w:tc>
          <w:tcPr>
            <w:tcW w:w="758" w:type="pct"/>
            <w:tcBorders>
              <w:top w:val="nil"/>
              <w:left w:val="single" w:color="000000" w:sz="8" w:space="0"/>
              <w:bottom w:val="single" w:color="000000" w:sz="8" w:space="0"/>
              <w:right w:val="single" w:color="000000" w:sz="8" w:space="0"/>
            </w:tcBorders>
            <w:shd w:val="clear" w:color="auto" w:fill="auto"/>
            <w:noWrap/>
            <w:vAlign w:val="center"/>
          </w:tcPr>
          <w:p w14:paraId="5C50A6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B2445C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0.15</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038010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0.12</w:t>
            </w:r>
          </w:p>
        </w:tc>
        <w:tc>
          <w:tcPr>
            <w:tcW w:w="558" w:type="pct"/>
            <w:tcBorders>
              <w:top w:val="nil"/>
              <w:left w:val="single" w:color="000000" w:sz="8" w:space="0"/>
              <w:bottom w:val="single" w:color="000000" w:sz="8" w:space="0"/>
              <w:right w:val="single" w:color="000000" w:sz="8" w:space="0"/>
            </w:tcBorders>
            <w:shd w:val="clear" w:color="auto" w:fill="auto"/>
            <w:noWrap/>
            <w:vAlign w:val="center"/>
          </w:tcPr>
          <w:p w14:paraId="6E4711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w:t>
            </w:r>
          </w:p>
        </w:tc>
      </w:tr>
      <w:tr w14:paraId="49F2B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nil"/>
              <w:left w:val="single" w:color="000000" w:sz="8" w:space="0"/>
              <w:bottom w:val="single" w:color="auto" w:sz="4" w:space="0"/>
              <w:right w:val="single" w:color="000000" w:sz="8" w:space="0"/>
            </w:tcBorders>
            <w:shd w:val="clear" w:color="auto" w:fill="auto"/>
            <w:noWrap/>
            <w:vAlign w:val="center"/>
          </w:tcPr>
          <w:p w14:paraId="4BE3EC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19</w:t>
            </w:r>
          </w:p>
        </w:tc>
        <w:tc>
          <w:tcPr>
            <w:tcW w:w="550" w:type="pct"/>
            <w:tcBorders>
              <w:top w:val="nil"/>
              <w:left w:val="single" w:color="000000" w:sz="8" w:space="0"/>
              <w:bottom w:val="single" w:color="auto" w:sz="4" w:space="0"/>
              <w:right w:val="single" w:color="000000" w:sz="8" w:space="0"/>
            </w:tcBorders>
            <w:shd w:val="clear" w:color="auto" w:fill="auto"/>
            <w:noWrap/>
            <w:vAlign w:val="center"/>
          </w:tcPr>
          <w:p w14:paraId="7DEB585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大南沟水库</w:t>
            </w:r>
          </w:p>
        </w:tc>
        <w:tc>
          <w:tcPr>
            <w:tcW w:w="1019" w:type="pct"/>
            <w:tcBorders>
              <w:top w:val="nil"/>
              <w:left w:val="single" w:color="000000" w:sz="8" w:space="0"/>
              <w:bottom w:val="single" w:color="auto" w:sz="4" w:space="0"/>
              <w:right w:val="single" w:color="000000" w:sz="8" w:space="0"/>
            </w:tcBorders>
            <w:shd w:val="clear" w:color="auto" w:fill="auto"/>
            <w:noWrap/>
            <w:vAlign w:val="center"/>
          </w:tcPr>
          <w:p w14:paraId="70EE42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晋城市泽州县大阳镇大南沟村</w:t>
            </w:r>
          </w:p>
        </w:tc>
        <w:tc>
          <w:tcPr>
            <w:tcW w:w="753" w:type="pct"/>
            <w:tcBorders>
              <w:top w:val="nil"/>
              <w:left w:val="single" w:color="000000" w:sz="8" w:space="0"/>
              <w:bottom w:val="single" w:color="auto" w:sz="4" w:space="0"/>
              <w:right w:val="single" w:color="000000" w:sz="8" w:space="0"/>
            </w:tcBorders>
            <w:shd w:val="clear" w:color="auto" w:fill="auto"/>
            <w:noWrap/>
            <w:vAlign w:val="center"/>
          </w:tcPr>
          <w:p w14:paraId="0F7F7E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丹河-巴公河-大阳河</w:t>
            </w:r>
          </w:p>
        </w:tc>
        <w:tc>
          <w:tcPr>
            <w:tcW w:w="758" w:type="pct"/>
            <w:tcBorders>
              <w:top w:val="nil"/>
              <w:left w:val="single" w:color="000000" w:sz="8" w:space="0"/>
              <w:bottom w:val="single" w:color="auto" w:sz="4" w:space="0"/>
              <w:right w:val="single" w:color="000000" w:sz="8" w:space="0"/>
            </w:tcBorders>
            <w:shd w:val="clear" w:color="auto" w:fill="auto"/>
            <w:noWrap/>
            <w:vAlign w:val="center"/>
          </w:tcPr>
          <w:p w14:paraId="615A7E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nil"/>
              <w:left w:val="single" w:color="000000" w:sz="8" w:space="0"/>
              <w:bottom w:val="single" w:color="auto" w:sz="4" w:space="0"/>
              <w:right w:val="single" w:color="000000" w:sz="8" w:space="0"/>
            </w:tcBorders>
            <w:shd w:val="clear" w:color="auto" w:fill="auto"/>
            <w:noWrap/>
            <w:vAlign w:val="center"/>
          </w:tcPr>
          <w:p w14:paraId="4BF67E2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0.06</w:t>
            </w:r>
          </w:p>
        </w:tc>
        <w:tc>
          <w:tcPr>
            <w:tcW w:w="558" w:type="pct"/>
            <w:tcBorders>
              <w:top w:val="nil"/>
              <w:left w:val="single" w:color="000000" w:sz="8" w:space="0"/>
              <w:bottom w:val="single" w:color="auto" w:sz="4" w:space="0"/>
              <w:right w:val="single" w:color="000000" w:sz="8" w:space="0"/>
            </w:tcBorders>
            <w:shd w:val="clear" w:color="auto" w:fill="auto"/>
            <w:noWrap/>
            <w:vAlign w:val="center"/>
          </w:tcPr>
          <w:p w14:paraId="02C79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w:t>
            </w:r>
          </w:p>
        </w:tc>
        <w:tc>
          <w:tcPr>
            <w:tcW w:w="558" w:type="pct"/>
            <w:tcBorders>
              <w:top w:val="nil"/>
              <w:left w:val="single" w:color="000000" w:sz="8" w:space="0"/>
              <w:bottom w:val="single" w:color="auto" w:sz="4" w:space="0"/>
              <w:right w:val="single" w:color="000000" w:sz="8" w:space="0"/>
            </w:tcBorders>
            <w:shd w:val="clear" w:color="auto" w:fill="auto"/>
            <w:noWrap/>
            <w:vAlign w:val="center"/>
          </w:tcPr>
          <w:p w14:paraId="345D00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0.07</w:t>
            </w:r>
          </w:p>
        </w:tc>
      </w:tr>
      <w:tr w14:paraId="4C413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A295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20</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3C99E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彭沟水库</w:t>
            </w:r>
          </w:p>
        </w:tc>
        <w:tc>
          <w:tcPr>
            <w:tcW w:w="10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B7A8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泽州县犁川镇犁川村</w:t>
            </w:r>
          </w:p>
        </w:tc>
        <w:tc>
          <w:tcPr>
            <w:tcW w:w="7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F8BA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沁河支流犁川河</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534E9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泽州县水务局</w:t>
            </w:r>
          </w:p>
        </w:tc>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7F9A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0.08</w:t>
            </w:r>
          </w:p>
        </w:tc>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C78B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w:t>
            </w:r>
          </w:p>
        </w:tc>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42741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0.02</w:t>
            </w:r>
          </w:p>
        </w:tc>
      </w:tr>
      <w:tr w14:paraId="4FDDD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2E78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highlight w:val="none"/>
                <w:u w:val="none"/>
                <w:lang w:val="en-US" w:eastAsia="zh-CN"/>
              </w:rPr>
            </w:pPr>
            <w:r>
              <w:rPr>
                <w:rFonts w:hint="eastAsia" w:eastAsia="宋体" w:cs="Times New Roman"/>
                <w:i w:val="0"/>
                <w:iCs w:val="0"/>
                <w:color w:val="000000"/>
                <w:sz w:val="24"/>
                <w:szCs w:val="24"/>
                <w:highlight w:val="none"/>
                <w:u w:val="none"/>
                <w:lang w:val="en-US" w:eastAsia="zh-CN"/>
              </w:rPr>
              <w:t>21</w:t>
            </w:r>
          </w:p>
        </w:tc>
        <w:tc>
          <w:tcPr>
            <w:tcW w:w="55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4FB4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highlight w:val="none"/>
                <w:u w:val="none"/>
                <w:lang w:val="en-US" w:eastAsia="zh-CN"/>
              </w:rPr>
            </w:pPr>
            <w:r>
              <w:rPr>
                <w:rFonts w:hint="eastAsia" w:eastAsia="宋体" w:cs="Times New Roman"/>
                <w:i w:val="0"/>
                <w:iCs w:val="0"/>
                <w:color w:val="000000"/>
                <w:sz w:val="24"/>
                <w:szCs w:val="24"/>
                <w:highlight w:val="none"/>
                <w:u w:val="none"/>
                <w:lang w:val="en-US" w:eastAsia="zh-CN"/>
              </w:rPr>
              <w:t>任庄水库</w:t>
            </w:r>
          </w:p>
        </w:tc>
        <w:tc>
          <w:tcPr>
            <w:tcW w:w="10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41BA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泽州县高都镇任庄村</w:t>
            </w:r>
          </w:p>
        </w:tc>
        <w:tc>
          <w:tcPr>
            <w:tcW w:w="75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E115E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丹河干流</w:t>
            </w:r>
          </w:p>
        </w:tc>
        <w:tc>
          <w:tcPr>
            <w:tcW w:w="7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C052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泽州县水务局</w:t>
            </w:r>
          </w:p>
        </w:tc>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A518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0.51</w:t>
            </w:r>
          </w:p>
        </w:tc>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0B21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6.72</w:t>
            </w:r>
          </w:p>
        </w:tc>
        <w:tc>
          <w:tcPr>
            <w:tcW w:w="55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06A74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eastAsia="宋体" w:cs="Times New Roman"/>
                <w:i w:val="0"/>
                <w:iCs w:val="0"/>
                <w:color w:val="000000"/>
                <w:sz w:val="24"/>
                <w:szCs w:val="24"/>
                <w:u w:val="none"/>
                <w:lang w:val="en-US" w:eastAsia="zh-CN"/>
              </w:rPr>
            </w:pPr>
            <w:r>
              <w:rPr>
                <w:rFonts w:hint="eastAsia" w:eastAsia="宋体" w:cs="Times New Roman"/>
                <w:i w:val="0"/>
                <w:iCs w:val="0"/>
                <w:color w:val="000000"/>
                <w:sz w:val="24"/>
                <w:szCs w:val="24"/>
                <w:u w:val="none"/>
                <w:lang w:val="en-US" w:eastAsia="zh-CN"/>
              </w:rPr>
              <w:t>6.38</w:t>
            </w:r>
          </w:p>
        </w:tc>
      </w:tr>
    </w:tbl>
    <w:p w14:paraId="0482087C">
      <w:pPr>
        <w:pStyle w:val="31"/>
        <w:sectPr>
          <w:pgSz w:w="16838" w:h="11905" w:orient="landscape"/>
          <w:pgMar w:top="1417" w:right="1587" w:bottom="1417" w:left="1587" w:header="851" w:footer="1020" w:gutter="0"/>
          <w:pgBorders>
            <w:top w:val="none" w:sz="0" w:space="0"/>
            <w:left w:val="none" w:sz="0" w:space="0"/>
            <w:bottom w:val="none" w:sz="0" w:space="0"/>
            <w:right w:val="none" w:sz="0" w:space="0"/>
          </w:pgBorders>
          <w:pgNumType w:fmt="decimal"/>
          <w:cols w:space="0" w:num="1"/>
          <w:rtlGutter w:val="0"/>
          <w:docGrid w:linePitch="312" w:charSpace="0"/>
        </w:sectPr>
      </w:pPr>
    </w:p>
    <w:p w14:paraId="52521942">
      <w:pPr>
        <w:pStyle w:val="6"/>
      </w:pPr>
      <w:bookmarkStart w:id="104" w:name="_Toc36060110"/>
      <w:bookmarkStart w:id="105" w:name="_Toc36060108"/>
      <w:r>
        <w:rPr>
          <w:rFonts w:hint="eastAsia"/>
          <w:lang w:val="en-US" w:eastAsia="zh-CN"/>
        </w:rPr>
        <w:t>6.2.2</w:t>
      </w:r>
      <w:r>
        <w:t>灌区工程</w:t>
      </w:r>
    </w:p>
    <w:p w14:paraId="42C41EC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kern w:val="0"/>
          <w:sz w:val="28"/>
          <w:szCs w:val="28"/>
          <w:shd w:val="clear" w:color="auto" w:fill="FFFFFF"/>
        </w:rPr>
      </w:pPr>
      <w:r>
        <w:rPr>
          <w:rFonts w:hint="eastAsia" w:eastAsia="宋体"/>
          <w:kern w:val="0"/>
          <w:sz w:val="28"/>
          <w:szCs w:val="28"/>
          <w:shd w:val="clear" w:color="auto" w:fill="FFFFFF"/>
          <w:lang w:eastAsia="zh-CN"/>
        </w:rPr>
        <w:t>目前</w:t>
      </w:r>
      <w:r>
        <w:rPr>
          <w:rFonts w:hint="eastAsia" w:eastAsia="宋体"/>
          <w:kern w:val="0"/>
          <w:sz w:val="28"/>
          <w:szCs w:val="28"/>
          <w:shd w:val="clear" w:color="auto" w:fill="FFFFFF"/>
          <w:lang w:val="en-US" w:eastAsia="zh-CN"/>
        </w:rPr>
        <w:t>泽州县</w:t>
      </w:r>
      <w:r>
        <w:rPr>
          <w:rFonts w:hint="eastAsia" w:eastAsia="宋体"/>
          <w:kern w:val="0"/>
          <w:sz w:val="28"/>
          <w:szCs w:val="28"/>
          <w:shd w:val="clear" w:color="auto" w:fill="FFFFFF"/>
          <w:lang w:eastAsia="zh-CN"/>
        </w:rPr>
        <w:t>共有中型灌区</w:t>
      </w:r>
      <w:r>
        <w:rPr>
          <w:rFonts w:hint="eastAsia" w:eastAsia="宋体"/>
          <w:kern w:val="0"/>
          <w:sz w:val="28"/>
          <w:szCs w:val="28"/>
          <w:shd w:val="clear" w:color="auto" w:fill="FFFFFF"/>
          <w:lang w:val="en-US" w:eastAsia="zh-CN"/>
        </w:rPr>
        <w:t>1个，本次工作对灌区输水干渠保护范围进行了初步划定</w:t>
      </w:r>
      <w:r>
        <w:rPr>
          <w:rFonts w:eastAsia="宋体"/>
          <w:kern w:val="0"/>
          <w:sz w:val="28"/>
          <w:szCs w:val="28"/>
          <w:shd w:val="clear" w:color="auto" w:fill="FFFFFF"/>
        </w:rPr>
        <w:t>。</w:t>
      </w:r>
    </w:p>
    <w:p w14:paraId="57B1D6E7">
      <w:pPr>
        <w:pStyle w:val="180"/>
        <w:spacing w:beforeLines="50" w:line="500" w:lineRule="exact"/>
        <w:ind w:firstLine="562"/>
        <w:jc w:val="center"/>
        <w:rPr>
          <w:rFonts w:ascii="Times New Roman" w:hAnsi="Times New Roman"/>
          <w:b/>
        </w:rPr>
      </w:pPr>
      <w:r>
        <w:rPr>
          <w:rFonts w:hint="eastAsia" w:ascii="Times New Roman" w:hAnsi="Times New Roman"/>
          <w:b/>
          <w:lang w:val="en-US" w:eastAsia="zh-CN"/>
        </w:rPr>
        <w:t>泽州县</w:t>
      </w:r>
      <w:r>
        <w:rPr>
          <w:rFonts w:hint="eastAsia" w:ascii="Times New Roman" w:hAnsi="Times New Roman"/>
          <w:b/>
          <w:lang w:eastAsia="zh-CN"/>
        </w:rPr>
        <w:t>水利基础设施空间规划中型灌区划界成果表</w:t>
      </w:r>
    </w:p>
    <w:p w14:paraId="3A3F973C">
      <w:pPr>
        <w:pStyle w:val="180"/>
        <w:spacing w:line="240" w:lineRule="auto"/>
        <w:ind w:firstLine="0" w:firstLineChars="0"/>
        <w:rPr>
          <w:rFonts w:hint="default"/>
          <w:lang w:val="en-US"/>
        </w:rPr>
      </w:pPr>
      <w:r>
        <w:rPr>
          <w:rFonts w:ascii="Times New Roman" w:hAnsi="Times New Roman"/>
          <w:sz w:val="24"/>
          <w:szCs w:val="24"/>
        </w:rPr>
        <w:t>表</w:t>
      </w:r>
      <w:r>
        <w:rPr>
          <w:rFonts w:hint="eastAsia" w:ascii="Times New Roman" w:hAnsi="Times New Roman"/>
          <w:sz w:val="24"/>
          <w:szCs w:val="24"/>
          <w:lang w:val="en-US" w:eastAsia="zh-CN"/>
        </w:rPr>
        <w:t>6.2-2</w:t>
      </w:r>
    </w:p>
    <w:tbl>
      <w:tblPr>
        <w:tblStyle w:val="3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40"/>
        <w:gridCol w:w="1143"/>
        <w:gridCol w:w="894"/>
        <w:gridCol w:w="1192"/>
        <w:gridCol w:w="951"/>
        <w:gridCol w:w="2114"/>
        <w:gridCol w:w="2114"/>
      </w:tblGrid>
      <w:tr w14:paraId="5B0C7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78D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序号</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08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灌区名称</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74D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所在位置</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95D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灌溉面积</w:t>
            </w:r>
          </w:p>
          <w:p w14:paraId="3B0EE9D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eastAsia="宋体" w:cs="Times New Roman"/>
                <w:i w:val="0"/>
                <w:iCs w:val="0"/>
                <w:color w:val="000000"/>
                <w:kern w:val="0"/>
                <w:sz w:val="24"/>
                <w:szCs w:val="24"/>
                <w:u w:val="none"/>
                <w:lang w:val="en-US" w:eastAsia="zh-CN" w:bidi="ar"/>
              </w:rPr>
              <w:t>（万亩）</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F5F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sz w:val="24"/>
                <w:szCs w:val="24"/>
                <w:highlight w:val="none"/>
                <w:u w:val="none"/>
                <w:lang w:eastAsia="zh-CN"/>
              </w:rPr>
            </w:pPr>
            <w:r>
              <w:rPr>
                <w:rFonts w:hint="eastAsia" w:eastAsia="宋体" w:cs="Times New Roman"/>
                <w:i w:val="0"/>
                <w:iCs w:val="0"/>
                <w:color w:val="000000"/>
                <w:sz w:val="24"/>
                <w:szCs w:val="24"/>
                <w:highlight w:val="none"/>
                <w:u w:val="none"/>
                <w:lang w:eastAsia="zh-CN"/>
              </w:rPr>
              <w:t>干渠长度（</w:t>
            </w:r>
            <w:r>
              <w:rPr>
                <w:rFonts w:hint="eastAsia" w:eastAsia="宋体" w:cs="Times New Roman"/>
                <w:i w:val="0"/>
                <w:iCs w:val="0"/>
                <w:color w:val="000000"/>
                <w:sz w:val="24"/>
                <w:szCs w:val="24"/>
                <w:highlight w:val="none"/>
                <w:u w:val="none"/>
                <w:lang w:val="en-US" w:eastAsia="zh-CN"/>
              </w:rPr>
              <w:t>km</w:t>
            </w:r>
            <w:r>
              <w:rPr>
                <w:rFonts w:hint="eastAsia" w:eastAsia="宋体" w:cs="Times New Roman"/>
                <w:i w:val="0"/>
                <w:iCs w:val="0"/>
                <w:color w:val="000000"/>
                <w:sz w:val="24"/>
                <w:szCs w:val="24"/>
                <w:highlight w:val="none"/>
                <w:u w:val="none"/>
                <w:lang w:eastAsia="zh-CN"/>
              </w:rPr>
              <w:t>）</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5CF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cs="Times New Roman"/>
                <w:i w:val="0"/>
                <w:iCs w:val="0"/>
                <w:color w:val="000000"/>
                <w:sz w:val="24"/>
                <w:szCs w:val="24"/>
                <w:highlight w:val="none"/>
                <w:u w:val="none"/>
                <w:lang w:eastAsia="zh-CN"/>
              </w:rPr>
            </w:pPr>
            <w:r>
              <w:rPr>
                <w:rFonts w:hint="eastAsia" w:eastAsia="宋体" w:cs="Times New Roman"/>
                <w:i w:val="0"/>
                <w:iCs w:val="0"/>
                <w:color w:val="000000"/>
                <w:sz w:val="24"/>
                <w:szCs w:val="24"/>
                <w:highlight w:val="none"/>
                <w:u w:val="none"/>
                <w:lang w:eastAsia="zh-CN"/>
              </w:rPr>
              <w:t>干渠管理范围面积（</w:t>
            </w:r>
            <w:r>
              <w:rPr>
                <w:rFonts w:hint="eastAsia" w:eastAsia="宋体" w:cs="Times New Roman"/>
                <w:i w:val="0"/>
                <w:iCs w:val="0"/>
                <w:color w:val="000000"/>
                <w:sz w:val="24"/>
                <w:szCs w:val="24"/>
                <w:highlight w:val="none"/>
                <w:u w:val="none"/>
                <w:lang w:val="en-US" w:eastAsia="zh-CN"/>
              </w:rPr>
              <w:t>km</w:t>
            </w:r>
            <w:r>
              <w:rPr>
                <w:rFonts w:hint="eastAsia" w:eastAsia="宋体" w:cs="Times New Roman"/>
                <w:i w:val="0"/>
                <w:iCs w:val="0"/>
                <w:color w:val="000000"/>
                <w:sz w:val="24"/>
                <w:szCs w:val="24"/>
                <w:highlight w:val="none"/>
                <w:u w:val="none"/>
                <w:vertAlign w:val="superscript"/>
                <w:lang w:val="en-US" w:eastAsia="zh-CN"/>
              </w:rPr>
              <w:t>2</w:t>
            </w:r>
            <w:r>
              <w:rPr>
                <w:rFonts w:hint="eastAsia" w:eastAsia="宋体" w:cs="Times New Roman"/>
                <w:i w:val="0"/>
                <w:iCs w:val="0"/>
                <w:color w:val="000000"/>
                <w:sz w:val="24"/>
                <w:szCs w:val="24"/>
                <w:highlight w:val="none"/>
                <w:u w:val="none"/>
                <w:lang w:eastAsia="zh-CN"/>
              </w:rPr>
              <w:t>）</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A99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cs="Times New Roman"/>
                <w:i w:val="0"/>
                <w:iCs w:val="0"/>
                <w:color w:val="000000"/>
                <w:sz w:val="24"/>
                <w:szCs w:val="24"/>
                <w:highlight w:val="none"/>
                <w:u w:val="none"/>
                <w:lang w:eastAsia="zh-CN"/>
              </w:rPr>
            </w:pPr>
            <w:r>
              <w:rPr>
                <w:rFonts w:hint="eastAsia" w:eastAsia="宋体" w:cs="Times New Roman"/>
                <w:i w:val="0"/>
                <w:iCs w:val="0"/>
                <w:color w:val="000000"/>
                <w:sz w:val="24"/>
                <w:szCs w:val="24"/>
                <w:highlight w:val="none"/>
                <w:u w:val="none"/>
                <w:lang w:eastAsia="zh-CN"/>
              </w:rPr>
              <w:t>干渠保护范围面积（</w:t>
            </w:r>
            <w:r>
              <w:rPr>
                <w:rFonts w:hint="eastAsia" w:eastAsia="宋体" w:cs="Times New Roman"/>
                <w:i w:val="0"/>
                <w:iCs w:val="0"/>
                <w:color w:val="000000"/>
                <w:sz w:val="24"/>
                <w:szCs w:val="24"/>
                <w:highlight w:val="none"/>
                <w:u w:val="none"/>
                <w:lang w:val="en-US" w:eastAsia="zh-CN"/>
              </w:rPr>
              <w:t>km</w:t>
            </w:r>
            <w:r>
              <w:rPr>
                <w:rFonts w:hint="eastAsia" w:eastAsia="宋体" w:cs="Times New Roman"/>
                <w:i w:val="0"/>
                <w:iCs w:val="0"/>
                <w:color w:val="000000"/>
                <w:sz w:val="24"/>
                <w:szCs w:val="24"/>
                <w:highlight w:val="none"/>
                <w:u w:val="none"/>
                <w:vertAlign w:val="superscript"/>
                <w:lang w:val="en-US" w:eastAsia="zh-CN"/>
              </w:rPr>
              <w:t>2</w:t>
            </w:r>
            <w:r>
              <w:rPr>
                <w:rFonts w:hint="eastAsia" w:eastAsia="宋体" w:cs="Times New Roman"/>
                <w:i w:val="0"/>
                <w:iCs w:val="0"/>
                <w:color w:val="000000"/>
                <w:sz w:val="24"/>
                <w:szCs w:val="24"/>
                <w:highlight w:val="none"/>
                <w:u w:val="none"/>
                <w:lang w:eastAsia="zh-CN"/>
              </w:rPr>
              <w:t>）</w:t>
            </w:r>
          </w:p>
        </w:tc>
      </w:tr>
      <w:tr w14:paraId="340E3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02A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eastAsia="宋体" w:cs="Times New Roman"/>
                <w:i w:val="0"/>
                <w:iCs w:val="0"/>
                <w:color w:val="000000"/>
                <w:kern w:val="0"/>
                <w:sz w:val="24"/>
                <w:szCs w:val="24"/>
                <w:u w:val="none"/>
                <w:lang w:val="en-US" w:eastAsia="zh-CN" w:bidi="ar"/>
              </w:rPr>
              <w:t>1</w:t>
            </w:r>
          </w:p>
        </w:tc>
        <w:tc>
          <w:tcPr>
            <w:tcW w:w="6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FF4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任庄灌区</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55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泽州县</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B5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1.062</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912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eastAsia" w:eastAsia="宋体" w:cs="Times New Roman"/>
                <w:i w:val="0"/>
                <w:iCs w:val="0"/>
                <w:color w:val="000000"/>
                <w:sz w:val="24"/>
                <w:szCs w:val="24"/>
                <w:u w:val="none"/>
                <w:lang w:val="en-US" w:eastAsia="zh-CN"/>
              </w:rPr>
              <w:t>24.77</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10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sz w:val="24"/>
                <w:szCs w:val="24"/>
                <w:u w:val="none"/>
                <w:lang w:val="en-US" w:eastAsia="zh-CN"/>
              </w:rPr>
              <w:t>0.17</w:t>
            </w:r>
          </w:p>
        </w:tc>
        <w:tc>
          <w:tcPr>
            <w:tcW w:w="11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76F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0.25</w:t>
            </w:r>
          </w:p>
        </w:tc>
      </w:tr>
    </w:tbl>
    <w:p w14:paraId="7A7EC77F">
      <w:pPr>
        <w:pStyle w:val="6"/>
      </w:pPr>
      <w:r>
        <w:rPr>
          <w:rFonts w:hint="eastAsia"/>
          <w:lang w:val="en-US" w:eastAsia="zh-CN"/>
        </w:rPr>
        <w:t>6.2.3</w:t>
      </w:r>
      <w:r>
        <w:t>堤防工程</w:t>
      </w:r>
    </w:p>
    <w:p w14:paraId="101D6EA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eastAsia="zh-CN"/>
        </w:rPr>
      </w:pPr>
      <w:r>
        <w:rPr>
          <w:rFonts w:hint="eastAsia" w:eastAsia="宋体"/>
          <w:sz w:val="28"/>
          <w:szCs w:val="28"/>
          <w:lang w:eastAsia="zh-CN"/>
        </w:rPr>
        <w:t>本次水利基础设施空间规划涉及的河流共</w:t>
      </w:r>
      <w:r>
        <w:rPr>
          <w:rFonts w:hint="eastAsia" w:eastAsia="宋体"/>
          <w:sz w:val="28"/>
          <w:szCs w:val="28"/>
          <w:lang w:val="en-US" w:eastAsia="zh-CN"/>
        </w:rPr>
        <w:t>12条</w:t>
      </w:r>
      <w:r>
        <w:rPr>
          <w:rFonts w:eastAsia="宋体"/>
          <w:sz w:val="28"/>
          <w:szCs w:val="28"/>
        </w:rPr>
        <w:t>，</w:t>
      </w:r>
      <w:r>
        <w:rPr>
          <w:rFonts w:hint="eastAsia" w:eastAsia="宋体"/>
          <w:sz w:val="28"/>
          <w:szCs w:val="28"/>
          <w:lang w:eastAsia="zh-CN"/>
        </w:rPr>
        <w:t>本次工作仅对这</w:t>
      </w:r>
      <w:r>
        <w:rPr>
          <w:rFonts w:hint="eastAsia" w:eastAsia="宋体"/>
          <w:sz w:val="28"/>
          <w:szCs w:val="28"/>
          <w:lang w:val="en-US" w:eastAsia="zh-CN"/>
        </w:rPr>
        <w:t>12条河上现有的</w:t>
      </w:r>
      <w:r>
        <w:rPr>
          <w:rFonts w:hint="eastAsia" w:eastAsia="宋体"/>
          <w:sz w:val="28"/>
          <w:szCs w:val="28"/>
          <w:lang w:eastAsia="zh-CN"/>
        </w:rPr>
        <w:t>堤防进行管理保护范围划定</w:t>
      </w:r>
      <w:r>
        <w:rPr>
          <w:rFonts w:hint="eastAsia" w:eastAsia="宋体"/>
          <w:sz w:val="28"/>
          <w:szCs w:val="28"/>
          <w:lang w:val="en-US" w:eastAsia="zh-CN"/>
        </w:rPr>
        <w:t>，堤防总长度</w:t>
      </w:r>
      <w:r>
        <w:rPr>
          <w:rFonts w:hint="eastAsia" w:eastAsia="宋体"/>
          <w:sz w:val="28"/>
          <w:szCs w:val="28"/>
          <w:highlight w:val="none"/>
          <w:lang w:val="en-US" w:eastAsia="zh-CN"/>
        </w:rPr>
        <w:t>26.4</w:t>
      </w:r>
      <w:r>
        <w:rPr>
          <w:rFonts w:hint="eastAsia" w:eastAsia="宋体"/>
          <w:sz w:val="28"/>
          <w:szCs w:val="28"/>
          <w:lang w:val="en-US" w:eastAsia="zh-CN"/>
        </w:rPr>
        <w:t>km，初步划定管理范围0.26km</w:t>
      </w:r>
      <w:r>
        <w:rPr>
          <w:rFonts w:hint="eastAsia" w:eastAsia="宋体"/>
          <w:sz w:val="28"/>
          <w:szCs w:val="28"/>
          <w:vertAlign w:val="superscript"/>
          <w:lang w:val="en-US" w:eastAsia="zh-CN"/>
        </w:rPr>
        <w:t>2</w:t>
      </w:r>
      <w:r>
        <w:rPr>
          <w:rFonts w:hint="eastAsia" w:eastAsia="宋体"/>
          <w:sz w:val="28"/>
          <w:szCs w:val="28"/>
          <w:lang w:eastAsia="zh-CN"/>
        </w:rPr>
        <w:t>，</w:t>
      </w:r>
      <w:r>
        <w:rPr>
          <w:rFonts w:hint="eastAsia" w:eastAsia="宋体"/>
          <w:sz w:val="28"/>
          <w:szCs w:val="28"/>
          <w:lang w:val="en-US" w:eastAsia="zh-CN"/>
        </w:rPr>
        <w:t>保护范围0.8km</w:t>
      </w:r>
      <w:r>
        <w:rPr>
          <w:rFonts w:hint="eastAsia" w:eastAsia="宋体"/>
          <w:sz w:val="28"/>
          <w:szCs w:val="28"/>
          <w:vertAlign w:val="superscript"/>
          <w:lang w:val="en-US" w:eastAsia="zh-CN"/>
        </w:rPr>
        <w:t>2</w:t>
      </w:r>
      <w:r>
        <w:rPr>
          <w:rFonts w:hint="eastAsia" w:eastAsia="宋体"/>
          <w:sz w:val="28"/>
          <w:szCs w:val="28"/>
        </w:rPr>
        <w:t>。</w:t>
      </w:r>
    </w:p>
    <w:p w14:paraId="34FE8F4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eastAsia="宋体"/>
          <w:sz w:val="28"/>
          <w:szCs w:val="28"/>
        </w:rPr>
        <w:t>河流具有夏雨型特点，这是由于汛期雨量高度集中造成的，大部分径流量集中在汛期，特别是在暴雨过后容易形成洪水、峰高量大，暴涨暴落。河流大多发源于</w:t>
      </w:r>
      <w:r>
        <w:rPr>
          <w:rFonts w:hint="eastAsia" w:eastAsia="宋体"/>
          <w:sz w:val="28"/>
          <w:szCs w:val="28"/>
          <w:lang w:eastAsia="zh-CN"/>
        </w:rPr>
        <w:t>北部</w:t>
      </w:r>
      <w:r>
        <w:rPr>
          <w:rFonts w:eastAsia="宋体"/>
          <w:sz w:val="28"/>
          <w:szCs w:val="28"/>
        </w:rPr>
        <w:t>山区，具有山地型河流特征，河长比较短，大部分河流长度只有几十公里；河道坡度比较陡，比降一般在3‰以上，普遍具有源短急流、侵蚀切割严重的特点。</w:t>
      </w:r>
    </w:p>
    <w:p w14:paraId="046A468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rPr>
      </w:pPr>
      <w:r>
        <w:rPr>
          <w:rFonts w:eastAsia="宋体"/>
          <w:sz w:val="28"/>
        </w:rPr>
        <w:t>河流治理基本按照人水和谐相处的基本思路，按照中水整治的原则布设控导工程，修建堤防、护岸和控导工程，对于淤积严重河段进行清淤疏浚。</w:t>
      </w:r>
    </w:p>
    <w:p w14:paraId="311E6CF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近年来，基本完成重点城镇段和重要防护对象河段的治理防护工作。近年，较大河流进行河道整治。</w:t>
      </w:r>
    </w:p>
    <w:p w14:paraId="0900BD05">
      <w:pPr>
        <w:pStyle w:val="6"/>
      </w:pPr>
      <w:bookmarkStart w:id="106" w:name="_Toc36060112"/>
      <w:r>
        <w:rPr>
          <w:rFonts w:hint="eastAsia"/>
          <w:lang w:val="en-US" w:eastAsia="zh-CN"/>
        </w:rPr>
        <w:t>6.2.4</w:t>
      </w:r>
      <w:r>
        <w:t>水文监测设施</w:t>
      </w:r>
      <w:bookmarkEnd w:id="106"/>
    </w:p>
    <w:p w14:paraId="11B17D3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lang w:val="en-US" w:eastAsia="zh-CN"/>
        </w:rPr>
      </w:pPr>
      <w:r>
        <w:rPr>
          <w:rFonts w:hint="eastAsia" w:eastAsia="宋体"/>
          <w:sz w:val="28"/>
          <w:szCs w:val="28"/>
          <w:lang w:val="en-US" w:eastAsia="zh-CN"/>
        </w:rPr>
        <w:t>泽州县</w:t>
      </w:r>
      <w:r>
        <w:rPr>
          <w:rFonts w:hint="eastAsia" w:eastAsia="宋体"/>
          <w:sz w:val="28"/>
          <w:szCs w:val="28"/>
          <w:lang w:eastAsia="zh-CN"/>
        </w:rPr>
        <w:t>共建有水文站</w:t>
      </w:r>
      <w:r>
        <w:rPr>
          <w:rFonts w:hint="eastAsia" w:eastAsia="宋体"/>
          <w:sz w:val="28"/>
          <w:szCs w:val="28"/>
          <w:lang w:val="en-US" w:eastAsia="zh-CN"/>
        </w:rPr>
        <w:t>2处，分别为河西、下河水文站，都建于2016年，监测系列长度为2016年至今。</w:t>
      </w:r>
    </w:p>
    <w:p w14:paraId="4ECEC486">
      <w:pPr>
        <w:pStyle w:val="180"/>
        <w:keepNext w:val="0"/>
        <w:keepLines w:val="0"/>
        <w:pageBreakBefore w:val="0"/>
        <w:widowControl/>
        <w:kinsoku/>
        <w:wordWrap/>
        <w:overflowPunct/>
        <w:topLinePunct w:val="0"/>
        <w:autoSpaceDE/>
        <w:autoSpaceDN/>
        <w:bidi w:val="0"/>
        <w:adjustRightInd/>
        <w:snapToGrid/>
        <w:spacing w:line="360" w:lineRule="auto"/>
        <w:ind w:firstLine="562"/>
        <w:jc w:val="center"/>
        <w:textAlignment w:val="auto"/>
        <w:rPr>
          <w:rFonts w:ascii="Times New Roman" w:hAnsi="Times New Roman"/>
          <w:b/>
        </w:rPr>
      </w:pPr>
      <w:r>
        <w:rPr>
          <w:rFonts w:hint="eastAsia" w:ascii="Times New Roman" w:hAnsi="Times New Roman"/>
          <w:b/>
          <w:lang w:val="en-US" w:eastAsia="zh-CN"/>
        </w:rPr>
        <w:t>泽州县</w:t>
      </w:r>
      <w:r>
        <w:rPr>
          <w:rFonts w:hint="eastAsia" w:ascii="Times New Roman" w:hAnsi="Times New Roman"/>
          <w:b/>
          <w:lang w:eastAsia="zh-CN"/>
        </w:rPr>
        <w:t>水文监测设施统计表</w:t>
      </w:r>
    </w:p>
    <w:p w14:paraId="41B34B86">
      <w:pPr>
        <w:pStyle w:val="180"/>
        <w:spacing w:line="240" w:lineRule="auto"/>
        <w:ind w:firstLine="0" w:firstLineChars="0"/>
        <w:rPr>
          <w:rFonts w:hint="default"/>
          <w:lang w:val="en-US" w:eastAsia="zh-CN"/>
        </w:rPr>
      </w:pPr>
      <w:r>
        <w:rPr>
          <w:rFonts w:ascii="Times New Roman" w:hAnsi="Times New Roman"/>
          <w:sz w:val="24"/>
          <w:szCs w:val="24"/>
        </w:rPr>
        <w:t>表</w:t>
      </w:r>
      <w:r>
        <w:rPr>
          <w:rFonts w:hint="eastAsia" w:ascii="Times New Roman" w:hAnsi="Times New Roman"/>
          <w:sz w:val="24"/>
          <w:szCs w:val="24"/>
          <w:lang w:val="en-US" w:eastAsia="zh-CN"/>
        </w:rPr>
        <w:t>6.2-4</w:t>
      </w:r>
    </w:p>
    <w:tbl>
      <w:tblPr>
        <w:tblStyle w:val="3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1425"/>
        <w:gridCol w:w="1469"/>
        <w:gridCol w:w="1469"/>
        <w:gridCol w:w="1176"/>
        <w:gridCol w:w="1051"/>
        <w:gridCol w:w="1656"/>
      </w:tblGrid>
      <w:tr w14:paraId="69BD0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0BB1A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序号</w:t>
            </w:r>
          </w:p>
        </w:tc>
        <w:tc>
          <w:tcPr>
            <w:tcW w:w="7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29B79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站名</w:t>
            </w:r>
          </w:p>
        </w:tc>
        <w:tc>
          <w:tcPr>
            <w:tcW w:w="8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74D0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所属流域</w:t>
            </w:r>
          </w:p>
        </w:tc>
        <w:tc>
          <w:tcPr>
            <w:tcW w:w="8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46E8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所在河流</w:t>
            </w:r>
          </w:p>
        </w:tc>
        <w:tc>
          <w:tcPr>
            <w:tcW w:w="65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CD95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所在县区</w:t>
            </w:r>
          </w:p>
        </w:tc>
        <w:tc>
          <w:tcPr>
            <w:tcW w:w="5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B7649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站别</w:t>
            </w:r>
          </w:p>
        </w:tc>
        <w:tc>
          <w:tcPr>
            <w:tcW w:w="9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F100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监测系列长度</w:t>
            </w:r>
          </w:p>
        </w:tc>
      </w:tr>
      <w:tr w14:paraId="60D12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8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A7965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1</w:t>
            </w:r>
          </w:p>
        </w:tc>
        <w:tc>
          <w:tcPr>
            <w:tcW w:w="79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781A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河西</w:t>
            </w:r>
          </w:p>
        </w:tc>
        <w:tc>
          <w:tcPr>
            <w:tcW w:w="8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321C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丹河流域</w:t>
            </w:r>
          </w:p>
        </w:tc>
        <w:tc>
          <w:tcPr>
            <w:tcW w:w="8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9B99D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白洋泉河</w:t>
            </w:r>
          </w:p>
        </w:tc>
        <w:tc>
          <w:tcPr>
            <w:tcW w:w="65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25ADF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泽州</w:t>
            </w:r>
          </w:p>
        </w:tc>
        <w:tc>
          <w:tcPr>
            <w:tcW w:w="5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2C2F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水文</w:t>
            </w:r>
          </w:p>
        </w:tc>
        <w:tc>
          <w:tcPr>
            <w:tcW w:w="92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7067D2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2016年至今</w:t>
            </w:r>
          </w:p>
        </w:tc>
      </w:tr>
      <w:tr w14:paraId="67710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38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F17087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2</w:t>
            </w:r>
          </w:p>
        </w:tc>
        <w:tc>
          <w:tcPr>
            <w:tcW w:w="796"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181E0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下河</w:t>
            </w:r>
          </w:p>
        </w:tc>
        <w:tc>
          <w:tcPr>
            <w:tcW w:w="821"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55E45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沁河流域</w:t>
            </w:r>
          </w:p>
        </w:tc>
        <w:tc>
          <w:tcPr>
            <w:tcW w:w="821"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B2F3C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长河</w:t>
            </w:r>
          </w:p>
        </w:tc>
        <w:tc>
          <w:tcPr>
            <w:tcW w:w="657" w:type="pct"/>
            <w:tcBorders>
              <w:top w:val="single" w:color="auto" w:sz="4" w:space="0"/>
              <w:left w:val="single" w:color="000000" w:sz="4" w:space="0"/>
              <w:bottom w:val="single" w:color="000000" w:sz="4" w:space="0"/>
              <w:right w:val="single" w:color="auto" w:sz="4" w:space="0"/>
            </w:tcBorders>
            <w:shd w:val="clear" w:color="auto" w:fill="auto"/>
            <w:noWrap/>
            <w:vAlign w:val="center"/>
          </w:tcPr>
          <w:p w14:paraId="09309C2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eastAsia="宋体" w:cs="Times New Roman"/>
                <w:i w:val="0"/>
                <w:iCs w:val="0"/>
                <w:color w:val="000000"/>
                <w:kern w:val="0"/>
                <w:sz w:val="24"/>
                <w:szCs w:val="24"/>
                <w:u w:val="none"/>
                <w:lang w:val="en-US" w:eastAsia="zh-CN" w:bidi="ar"/>
              </w:rPr>
              <w:t>泽州</w:t>
            </w:r>
          </w:p>
        </w:tc>
        <w:tc>
          <w:tcPr>
            <w:tcW w:w="5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B6FA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水位</w:t>
            </w:r>
          </w:p>
        </w:tc>
        <w:tc>
          <w:tcPr>
            <w:tcW w:w="92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3E04E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p>
        </w:tc>
      </w:tr>
    </w:tbl>
    <w:p w14:paraId="719CDE7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p>
    <w:p w14:paraId="7A00B64D">
      <w:pPr>
        <w:pStyle w:val="2"/>
        <w:rPr>
          <w:rFonts w:eastAsia="宋体"/>
          <w:sz w:val="28"/>
          <w:szCs w:val="28"/>
        </w:rPr>
      </w:pPr>
      <w:r>
        <w:rPr>
          <w:rFonts w:eastAsia="宋体"/>
          <w:sz w:val="28"/>
          <w:szCs w:val="28"/>
        </w:rPr>
        <w:t>各水文站管理范围划定按照山西省人民政府办公厅文件晋政办发</w:t>
      </w:r>
      <w:r>
        <w:rPr>
          <w:rFonts w:hint="eastAsia" w:ascii="宋体" w:hAnsi="宋体" w:eastAsia="宋体" w:cs="宋体"/>
          <w:sz w:val="28"/>
          <w:szCs w:val="28"/>
        </w:rPr>
        <w:t>〔</w:t>
      </w:r>
      <w:r>
        <w:rPr>
          <w:rFonts w:eastAsia="宋体"/>
          <w:sz w:val="28"/>
          <w:szCs w:val="28"/>
        </w:rPr>
        <w:t>1991</w:t>
      </w:r>
      <w:r>
        <w:rPr>
          <w:rFonts w:hint="eastAsia" w:ascii="宋体" w:hAnsi="宋体" w:eastAsia="宋体" w:cs="宋体"/>
          <w:sz w:val="28"/>
          <w:szCs w:val="28"/>
        </w:rPr>
        <w:t>〕</w:t>
      </w:r>
      <w:r>
        <w:rPr>
          <w:rFonts w:eastAsia="宋体"/>
          <w:sz w:val="28"/>
          <w:szCs w:val="28"/>
        </w:rPr>
        <w:t>166号</w:t>
      </w:r>
      <w:r>
        <w:rPr>
          <w:rFonts w:hint="eastAsia"/>
          <w:sz w:val="28"/>
          <w:szCs w:val="28"/>
          <w:lang w:eastAsia="zh-CN"/>
        </w:rPr>
        <w:t>“</w:t>
      </w:r>
      <w:r>
        <w:rPr>
          <w:rFonts w:eastAsia="宋体"/>
          <w:sz w:val="28"/>
          <w:szCs w:val="28"/>
        </w:rPr>
        <w:t>关于已建成水工程划定管理范围和保护范围的意见</w:t>
      </w:r>
      <w:r>
        <w:rPr>
          <w:rFonts w:hint="eastAsia"/>
          <w:sz w:val="28"/>
          <w:szCs w:val="28"/>
          <w:lang w:eastAsia="zh-CN"/>
        </w:rPr>
        <w:t>”</w:t>
      </w:r>
      <w:r>
        <w:rPr>
          <w:rFonts w:eastAsia="宋体"/>
          <w:sz w:val="28"/>
          <w:szCs w:val="28"/>
        </w:rPr>
        <w:t>中</w:t>
      </w:r>
      <w:r>
        <w:rPr>
          <w:rFonts w:hint="eastAsia"/>
          <w:sz w:val="28"/>
          <w:szCs w:val="28"/>
          <w:lang w:eastAsia="zh-CN"/>
        </w:rPr>
        <w:t>“</w:t>
      </w:r>
      <w:r>
        <w:rPr>
          <w:rFonts w:eastAsia="宋体"/>
          <w:sz w:val="28"/>
          <w:szCs w:val="28"/>
        </w:rPr>
        <w:t>水文站设施以外3m，观测缆车、缆道、测船、断面索等设备以外3m，测验河道断面上、下游150m</w:t>
      </w:r>
      <w:r>
        <w:rPr>
          <w:rFonts w:hint="eastAsia"/>
          <w:sz w:val="28"/>
          <w:szCs w:val="28"/>
          <w:lang w:eastAsia="zh-CN"/>
        </w:rPr>
        <w:t>”</w:t>
      </w:r>
      <w:r>
        <w:rPr>
          <w:rFonts w:eastAsia="宋体"/>
          <w:sz w:val="28"/>
          <w:szCs w:val="28"/>
        </w:rPr>
        <w:t>的规定初步划定，初步划界后，各水文站工程管理范围面积为</w:t>
      </w:r>
      <w:r>
        <w:rPr>
          <w:rFonts w:hint="eastAsia" w:eastAsia="宋体"/>
          <w:sz w:val="28"/>
          <w:szCs w:val="28"/>
          <w:lang w:val="en-US" w:eastAsia="zh-CN"/>
        </w:rPr>
        <w:t>0.012k</w:t>
      </w:r>
      <w:r>
        <w:rPr>
          <w:rFonts w:eastAsia="宋体"/>
          <w:sz w:val="28"/>
          <w:szCs w:val="28"/>
        </w:rPr>
        <w:t>m</w:t>
      </w:r>
      <w:r>
        <w:rPr>
          <w:rFonts w:eastAsia="宋体"/>
          <w:sz w:val="28"/>
          <w:szCs w:val="28"/>
          <w:vertAlign w:val="superscript"/>
        </w:rPr>
        <w:t>2</w:t>
      </w:r>
      <w:r>
        <w:rPr>
          <w:rFonts w:eastAsia="宋体"/>
          <w:sz w:val="28"/>
          <w:szCs w:val="28"/>
        </w:rPr>
        <w:t>。</w:t>
      </w:r>
    </w:p>
    <w:p w14:paraId="4B089D28">
      <w:pPr>
        <w:pStyle w:val="6"/>
      </w:pPr>
      <w:r>
        <w:rPr>
          <w:rFonts w:hint="eastAsia"/>
          <w:lang w:val="en-US" w:eastAsia="zh-CN"/>
        </w:rPr>
        <w:t>6.2.5</w:t>
      </w:r>
      <w:r>
        <w:rPr>
          <w:rFonts w:hint="eastAsia"/>
          <w:lang w:eastAsia="zh-CN"/>
        </w:rPr>
        <w:t>泉域配套工程</w:t>
      </w:r>
    </w:p>
    <w:p w14:paraId="272BA875">
      <w:pPr>
        <w:keepNext w:val="0"/>
        <w:keepLines w:val="0"/>
        <w:pageBreakBefore w:val="0"/>
        <w:widowControl w:val="0"/>
        <w:kinsoku/>
        <w:wordWrap/>
        <w:overflowPunct/>
        <w:topLinePunct w:val="0"/>
        <w:autoSpaceDE/>
        <w:autoSpaceDN/>
        <w:bidi w:val="0"/>
        <w:snapToGrid w:val="0"/>
        <w:spacing w:line="360" w:lineRule="auto"/>
        <w:ind w:firstLine="560"/>
        <w:textAlignment w:val="auto"/>
        <w:rPr>
          <w:rFonts w:hint="default" w:eastAsia="宋体"/>
          <w:sz w:val="28"/>
          <w:szCs w:val="28"/>
          <w:lang w:val="en-US" w:eastAsia="zh-CN"/>
        </w:rPr>
      </w:pPr>
      <w:r>
        <w:rPr>
          <w:rFonts w:hint="eastAsia" w:eastAsia="宋体"/>
          <w:sz w:val="28"/>
          <w:szCs w:val="28"/>
          <w:lang w:val="en-US" w:eastAsia="zh-CN"/>
        </w:rPr>
        <w:t>泽州县境内有三姑泉域及延河泉域。</w:t>
      </w:r>
    </w:p>
    <w:p w14:paraId="38DE42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eastAsia="宋体" w:cs="Times New Roman"/>
          <w:color w:val="auto"/>
          <w:sz w:val="28"/>
          <w:szCs w:val="28"/>
          <w:lang w:val="en-US" w:eastAsia="zh-CN"/>
        </w:rPr>
      </w:pPr>
      <w:r>
        <w:rPr>
          <w:rFonts w:hint="eastAsia" w:eastAsia="宋体" w:cs="Times New Roman"/>
          <w:color w:val="auto"/>
          <w:sz w:val="28"/>
          <w:szCs w:val="28"/>
          <w:lang w:val="en-US" w:eastAsia="zh-CN"/>
        </w:rPr>
        <w:t>1、三姑泉域</w:t>
      </w:r>
    </w:p>
    <w:p w14:paraId="1AD67C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（1）泉域基本情况</w:t>
      </w:r>
    </w:p>
    <w:p w14:paraId="59A5509A">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napToGrid w:val="0"/>
          <w:sz w:val="28"/>
          <w:szCs w:val="28"/>
        </w:rPr>
      </w:pPr>
      <w:r>
        <w:rPr>
          <w:rFonts w:hint="default" w:ascii="Times New Roman" w:hAnsi="Times New Roman" w:eastAsia="宋体" w:cs="Times New Roman"/>
          <w:snapToGrid w:val="0"/>
          <w:sz w:val="28"/>
          <w:szCs w:val="28"/>
        </w:rPr>
        <w:t>三姑泉域地处山西省东南部，地理坐标介于东经111°55′～113°36′、北纬35°12′～36°04′，包括晋城市城区和泽州县、高平市和陵川县大部。泉域总面积约2571km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，其中裸露可溶岩面积840km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,半裸露可溶岩面积596km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，覆盖和埋藏可溶岩面积1135km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。三姑泉出露于晋城市泽州县河西乡孔庄村东北5km处的丹河河谷西岸，成股状集中涌出。</w:t>
      </w:r>
    </w:p>
    <w:p w14:paraId="5026BA98">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napToGrid w:val="0"/>
          <w:sz w:val="28"/>
          <w:szCs w:val="28"/>
        </w:rPr>
      </w:pPr>
      <w:r>
        <w:rPr>
          <w:rFonts w:hint="default" w:ascii="Times New Roman" w:hAnsi="Times New Roman" w:eastAsia="宋体" w:cs="Times New Roman"/>
          <w:snapToGrid w:val="0"/>
          <w:sz w:val="28"/>
          <w:szCs w:val="28"/>
        </w:rPr>
        <w:t>三姑泉域位于吕梁～太行断块东南部，太行山块隆和沁水块坳之间。出露地层受两大构造体系的控制，总体为以高平～晋城为轴部的不对称的山间向斜凹地，西翼至晋获断裂，岩层总体向东或东南方向倾斜，倾角10º～30°；东翼开阔，岩层总体向西、西北方向倾斜，倾角5º～10°。对地层分布和水文地质条件起控制作用的主要构造体系有晋获褶断带和丹河小</w:t>
      </w:r>
      <w:r>
        <w:rPr>
          <w:rFonts w:hint="eastAsia" w:ascii="Times New Roman" w:hAnsi="Times New Roman" w:cs="Times New Roman"/>
          <w:snapToGrid w:val="0"/>
          <w:sz w:val="28"/>
          <w:szCs w:val="28"/>
          <w:lang w:eastAsia="zh-CN"/>
        </w:rPr>
        <w:t>“</w:t>
      </w:r>
      <w:r>
        <w:rPr>
          <w:rFonts w:hint="default" w:ascii="Times New Roman" w:hAnsi="Times New Roman" w:eastAsia="宋体" w:cs="Times New Roman"/>
          <w:snapToGrid w:val="0"/>
          <w:sz w:val="28"/>
          <w:szCs w:val="28"/>
        </w:rPr>
        <w:t>山</w:t>
      </w:r>
      <w:r>
        <w:rPr>
          <w:rFonts w:hint="eastAsia" w:ascii="Times New Roman" w:hAnsi="Times New Roman" w:cs="Times New Roman"/>
          <w:snapToGrid w:val="0"/>
          <w:sz w:val="28"/>
          <w:szCs w:val="28"/>
          <w:lang w:eastAsia="zh-CN"/>
        </w:rPr>
        <w:t>”</w:t>
      </w:r>
      <w:r>
        <w:rPr>
          <w:rFonts w:hint="default" w:ascii="Times New Roman" w:hAnsi="Times New Roman" w:eastAsia="宋体" w:cs="Times New Roman"/>
          <w:snapToGrid w:val="0"/>
          <w:sz w:val="28"/>
          <w:szCs w:val="28"/>
        </w:rPr>
        <w:t>字型构造。</w:t>
      </w:r>
    </w:p>
    <w:p w14:paraId="0168ED7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napToGrid w:val="0"/>
          <w:sz w:val="28"/>
          <w:szCs w:val="28"/>
        </w:rPr>
        <w:t>泉域内地层出露受构造控制，东部受太行山块隆构造影响，地层抬高，从东向西，依次出露奥陶系、石炭系、二叠系地层；在泉域南部排泄区，郭壁泉至三姑泉一带的丹河河谷有寒武系地层出露。在盆地丘陵区和河谷区有第四系地层出露</w:t>
      </w:r>
      <w:r>
        <w:rPr>
          <w:rFonts w:hint="default" w:ascii="Times New Roman" w:hAnsi="Times New Roman" w:eastAsia="宋体" w:cs="Times New Roman"/>
          <w:sz w:val="28"/>
          <w:szCs w:val="28"/>
        </w:rPr>
        <w:t>。</w:t>
      </w:r>
    </w:p>
    <w:p w14:paraId="4E4383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val="en-US" w:eastAsia="zh-CN"/>
        </w:rPr>
        <w:t>）泉域</w:t>
      </w:r>
      <w:r>
        <w:rPr>
          <w:rFonts w:hint="eastAsia" w:ascii="Times New Roman" w:hAnsi="Times New Roman" w:eastAsia="宋体" w:cs="Times New Roman"/>
          <w:color w:val="auto"/>
          <w:sz w:val="28"/>
          <w:szCs w:val="28"/>
          <w:lang w:val="en-US" w:eastAsia="zh-CN"/>
        </w:rPr>
        <w:t>边界</w:t>
      </w:r>
    </w:p>
    <w:p w14:paraId="75BB47A1">
      <w:pPr>
        <w:pStyle w:val="17"/>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hAnsi="宋体" w:cs="Times New Roman"/>
          <w:snapToGrid w:val="0"/>
          <w:sz w:val="28"/>
          <w:szCs w:val="28"/>
        </w:rPr>
      </w:pPr>
      <w:r>
        <w:rPr>
          <w:rFonts w:hint="eastAsia" w:hAnsi="宋体" w:cs="Times New Roman"/>
          <w:snapToGrid w:val="0"/>
          <w:sz w:val="28"/>
          <w:szCs w:val="28"/>
        </w:rPr>
        <w:t>三姑泉域是以岩溶水为主，由地表水～第四系孔隙水～基岩裂隙水～岩溶水组成的水资源系统。中奥陶岩溶含水层与寒武系岩溶含水层组成了巨大的岩溶地下水盆地，接受大气降水、地表水及浅层地下水的补给，经调蓄后以泉水形式排泄。三姑泉域边界情况如下：</w:t>
      </w:r>
    </w:p>
    <w:p w14:paraId="28D3EE02">
      <w:pPr>
        <w:pStyle w:val="17"/>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hAnsi="宋体" w:cs="Times New Roman"/>
          <w:snapToGrid w:val="0"/>
          <w:sz w:val="28"/>
          <w:szCs w:val="28"/>
        </w:rPr>
      </w:pPr>
      <w:r>
        <w:rPr>
          <w:rFonts w:hint="eastAsia" w:ascii="宋体" w:hAnsi="宋体" w:eastAsia="宋体" w:cs="Times New Roman"/>
          <w:snapToGrid w:val="0"/>
          <w:sz w:val="28"/>
          <w:szCs w:val="28"/>
        </w:rPr>
        <w:fldChar w:fldCharType="begin"/>
      </w:r>
      <w:r>
        <w:rPr>
          <w:rFonts w:hint="eastAsia" w:ascii="宋体" w:hAnsi="宋体" w:eastAsia="宋体" w:cs="Times New Roman"/>
          <w:snapToGrid w:val="0"/>
          <w:sz w:val="28"/>
          <w:szCs w:val="28"/>
        </w:rPr>
        <w:instrText xml:space="preserve"> = 1 \* GB3 \* MERGEFORMAT </w:instrText>
      </w:r>
      <w:r>
        <w:rPr>
          <w:rFonts w:hint="eastAsia" w:ascii="宋体" w:hAnsi="宋体" w:eastAsia="宋体" w:cs="Times New Roman"/>
          <w:snapToGrid w:val="0"/>
          <w:sz w:val="28"/>
          <w:szCs w:val="28"/>
        </w:rPr>
        <w:fldChar w:fldCharType="separate"/>
      </w:r>
      <w:r>
        <w:rPr>
          <w:rFonts w:hint="eastAsia" w:ascii="宋体" w:hAnsi="宋体" w:eastAsia="宋体" w:cs="Times New Roman"/>
          <w:snapToGrid w:val="0"/>
          <w:sz w:val="28"/>
          <w:szCs w:val="28"/>
        </w:rPr>
        <w:t>①</w:t>
      </w:r>
      <w:r>
        <w:rPr>
          <w:rFonts w:hint="eastAsia" w:ascii="宋体" w:hAnsi="宋体" w:eastAsia="宋体" w:cs="Times New Roman"/>
          <w:snapToGrid w:val="0"/>
          <w:sz w:val="28"/>
          <w:szCs w:val="28"/>
        </w:rPr>
        <w:fldChar w:fldCharType="end"/>
      </w:r>
      <w:r>
        <w:rPr>
          <w:rFonts w:hint="eastAsia" w:ascii="宋体" w:hAnsi="宋体" w:eastAsia="宋体" w:cs="Times New Roman"/>
          <w:snapToGrid w:val="0"/>
          <w:sz w:val="28"/>
          <w:szCs w:val="28"/>
        </w:rPr>
        <w:t>北部边</w:t>
      </w:r>
      <w:r>
        <w:rPr>
          <w:rFonts w:hint="eastAsia" w:hAnsi="宋体" w:cs="Times New Roman"/>
          <w:snapToGrid w:val="0"/>
          <w:sz w:val="28"/>
          <w:szCs w:val="28"/>
        </w:rPr>
        <w:t>界：北部边界位于丹株岭～金泉山～黄沙山一线，近东西向展布，基本沿着丹河与漳河的地表分水岭分布。地表出露石炭系、二叠系地层，岩性由砂页岩、泥岩及铝土页岩组成，厚度大于500m，岩层产状与区域地层基本一致，总体倾向西北。碳酸盐岩深埋地下，岩溶裂隙不发育。</w:t>
      </w:r>
    </w:p>
    <w:p w14:paraId="622416B5">
      <w:pPr>
        <w:pStyle w:val="17"/>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hAnsi="宋体" w:cs="Times New Roman"/>
          <w:snapToGrid w:val="0"/>
          <w:sz w:val="28"/>
          <w:szCs w:val="28"/>
        </w:rPr>
      </w:pPr>
      <w:r>
        <w:rPr>
          <w:rFonts w:hint="eastAsia" w:ascii="宋体" w:hAnsi="宋体" w:eastAsia="宋体" w:cs="Times New Roman"/>
          <w:snapToGrid w:val="0"/>
          <w:sz w:val="28"/>
          <w:szCs w:val="28"/>
        </w:rPr>
        <w:fldChar w:fldCharType="begin"/>
      </w:r>
      <w:r>
        <w:rPr>
          <w:rFonts w:hint="eastAsia" w:ascii="宋体" w:hAnsi="宋体" w:eastAsia="宋体" w:cs="Times New Roman"/>
          <w:snapToGrid w:val="0"/>
          <w:sz w:val="28"/>
          <w:szCs w:val="28"/>
        </w:rPr>
        <w:instrText xml:space="preserve"> = 2 \* GB3 \* MERGEFORMAT </w:instrText>
      </w:r>
      <w:r>
        <w:rPr>
          <w:rFonts w:hint="eastAsia" w:ascii="宋体" w:hAnsi="宋体" w:eastAsia="宋体" w:cs="Times New Roman"/>
          <w:snapToGrid w:val="0"/>
          <w:sz w:val="28"/>
          <w:szCs w:val="28"/>
        </w:rPr>
        <w:fldChar w:fldCharType="separate"/>
      </w:r>
      <w:r>
        <w:rPr>
          <w:rFonts w:hint="eastAsia" w:ascii="宋体" w:hAnsi="宋体" w:eastAsia="宋体" w:cs="Times New Roman"/>
          <w:snapToGrid w:val="0"/>
          <w:sz w:val="28"/>
          <w:szCs w:val="28"/>
        </w:rPr>
        <w:t>②</w:t>
      </w:r>
      <w:r>
        <w:rPr>
          <w:rFonts w:hint="eastAsia" w:ascii="宋体" w:hAnsi="宋体" w:eastAsia="宋体" w:cs="Times New Roman"/>
          <w:snapToGrid w:val="0"/>
          <w:sz w:val="28"/>
          <w:szCs w:val="28"/>
        </w:rPr>
        <w:fldChar w:fldCharType="end"/>
      </w:r>
      <w:r>
        <w:rPr>
          <w:rFonts w:hint="eastAsia" w:ascii="宋体" w:hAnsi="宋体" w:eastAsia="宋体" w:cs="Times New Roman"/>
          <w:snapToGrid w:val="0"/>
          <w:sz w:val="28"/>
          <w:szCs w:val="28"/>
        </w:rPr>
        <w:t>东部</w:t>
      </w:r>
      <w:r>
        <w:rPr>
          <w:rFonts w:hint="eastAsia" w:hAnsi="宋体" w:cs="Times New Roman"/>
          <w:snapToGrid w:val="0"/>
          <w:sz w:val="28"/>
          <w:szCs w:val="28"/>
        </w:rPr>
        <w:t>边界：东部边界较为复杂，由于太行山东南坡沟谷深切，寒武-奥陶系各含水层及隔水层均被切出，形成了众多的“边缘泉”，这些边缘泉反映了与丹河岩溶水系统之间地下水分水岭的存在。该分水岭基本沿地形分水岭，即东部边界为柳树口～夺火～槐树岭一线。</w:t>
      </w:r>
    </w:p>
    <w:p w14:paraId="5272B667">
      <w:pPr>
        <w:pStyle w:val="17"/>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hAnsi="宋体" w:cs="Times New Roman"/>
          <w:snapToGrid w:val="0"/>
          <w:sz w:val="28"/>
          <w:szCs w:val="28"/>
        </w:rPr>
      </w:pPr>
      <w:r>
        <w:rPr>
          <w:rFonts w:hint="eastAsia" w:ascii="宋体" w:hAnsi="宋体" w:eastAsia="宋体" w:cs="Times New Roman"/>
          <w:snapToGrid w:val="0"/>
          <w:sz w:val="28"/>
          <w:szCs w:val="28"/>
        </w:rPr>
        <w:fldChar w:fldCharType="begin"/>
      </w:r>
      <w:r>
        <w:rPr>
          <w:rFonts w:hint="eastAsia" w:ascii="宋体" w:hAnsi="宋体" w:eastAsia="宋体" w:cs="Times New Roman"/>
          <w:snapToGrid w:val="0"/>
          <w:sz w:val="28"/>
          <w:szCs w:val="28"/>
        </w:rPr>
        <w:instrText xml:space="preserve"> = 3 \* GB3 \* MERGEFORMAT </w:instrText>
      </w:r>
      <w:r>
        <w:rPr>
          <w:rFonts w:hint="eastAsia" w:ascii="宋体" w:hAnsi="宋体" w:eastAsia="宋体" w:cs="Times New Roman"/>
          <w:snapToGrid w:val="0"/>
          <w:sz w:val="28"/>
          <w:szCs w:val="28"/>
        </w:rPr>
        <w:fldChar w:fldCharType="separate"/>
      </w:r>
      <w:r>
        <w:rPr>
          <w:rFonts w:hint="eastAsia" w:ascii="宋体" w:hAnsi="宋体" w:eastAsia="宋体" w:cs="Times New Roman"/>
          <w:snapToGrid w:val="0"/>
          <w:sz w:val="28"/>
          <w:szCs w:val="28"/>
        </w:rPr>
        <w:t>③</w:t>
      </w:r>
      <w:r>
        <w:rPr>
          <w:rFonts w:hint="eastAsia" w:ascii="宋体" w:hAnsi="宋体" w:eastAsia="宋体" w:cs="Times New Roman"/>
          <w:snapToGrid w:val="0"/>
          <w:sz w:val="28"/>
          <w:szCs w:val="28"/>
        </w:rPr>
        <w:fldChar w:fldCharType="end"/>
      </w:r>
      <w:r>
        <w:rPr>
          <w:rFonts w:hint="eastAsia" w:ascii="宋体" w:hAnsi="宋体" w:eastAsia="宋体" w:cs="Times New Roman"/>
          <w:snapToGrid w:val="0"/>
          <w:sz w:val="28"/>
          <w:szCs w:val="28"/>
        </w:rPr>
        <w:t>南部边</w:t>
      </w:r>
      <w:r>
        <w:rPr>
          <w:rFonts w:hint="eastAsia" w:hAnsi="宋体" w:cs="Times New Roman"/>
          <w:snapToGrid w:val="0"/>
          <w:sz w:val="28"/>
          <w:szCs w:val="28"/>
        </w:rPr>
        <w:t>界：南部边界位于大箕～南河底～城群～张路口一带，由一系列的压扭性断层褶皱组成，即由丹河小“山”字型构造的前弧构成，构造裂隙发育，但沿此带O</w:t>
      </w:r>
      <w:r>
        <w:rPr>
          <w:rFonts w:hint="eastAsia" w:hAnsi="宋体" w:cs="Times New Roman"/>
          <w:snapToGrid w:val="0"/>
          <w:sz w:val="28"/>
          <w:szCs w:val="28"/>
          <w:vertAlign w:val="subscript"/>
        </w:rPr>
        <w:t>1</w:t>
      </w:r>
      <w:r>
        <w:rPr>
          <w:rFonts w:hint="eastAsia" w:hAnsi="宋体" w:cs="Times New Roman"/>
          <w:snapToGrid w:val="0"/>
          <w:sz w:val="28"/>
          <w:szCs w:val="28"/>
        </w:rPr>
        <w:t>－∈</w:t>
      </w:r>
      <w:r>
        <w:rPr>
          <w:rFonts w:hint="eastAsia" w:hAnsi="宋体" w:cs="Times New Roman"/>
          <w:snapToGrid w:val="0"/>
          <w:sz w:val="28"/>
          <w:szCs w:val="28"/>
          <w:vertAlign w:val="subscript"/>
        </w:rPr>
        <w:t>3</w:t>
      </w:r>
      <w:r>
        <w:rPr>
          <w:rFonts w:hint="eastAsia" w:hAnsi="宋体" w:cs="Times New Roman"/>
          <w:snapToGrid w:val="0"/>
          <w:sz w:val="28"/>
          <w:szCs w:val="28"/>
        </w:rPr>
        <w:t>地层抬起，形成南部边缘相对阻水带，属弱透水边界，产生两次阻水。</w:t>
      </w:r>
    </w:p>
    <w:p w14:paraId="3BC9E667">
      <w:pPr>
        <w:pStyle w:val="17"/>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hAnsi="宋体" w:cs="Times New Roman"/>
          <w:snapToGrid w:val="0"/>
          <w:sz w:val="28"/>
          <w:szCs w:val="28"/>
        </w:rPr>
      </w:pPr>
      <w:r>
        <w:rPr>
          <w:rFonts w:hint="eastAsia" w:ascii="宋体" w:hAnsi="宋体" w:eastAsia="宋体" w:cs="Times New Roman"/>
          <w:snapToGrid w:val="0"/>
          <w:sz w:val="28"/>
          <w:szCs w:val="28"/>
        </w:rPr>
        <w:fldChar w:fldCharType="begin"/>
      </w:r>
      <w:r>
        <w:rPr>
          <w:rFonts w:hint="eastAsia" w:ascii="宋体" w:hAnsi="宋体" w:eastAsia="宋体" w:cs="Times New Roman"/>
          <w:snapToGrid w:val="0"/>
          <w:sz w:val="28"/>
          <w:szCs w:val="28"/>
        </w:rPr>
        <w:instrText xml:space="preserve"> = 4 \* GB3 \* MERGEFORMAT </w:instrText>
      </w:r>
      <w:r>
        <w:rPr>
          <w:rFonts w:hint="eastAsia" w:ascii="宋体" w:hAnsi="宋体" w:eastAsia="宋体" w:cs="Times New Roman"/>
          <w:snapToGrid w:val="0"/>
          <w:sz w:val="28"/>
          <w:szCs w:val="28"/>
        </w:rPr>
        <w:fldChar w:fldCharType="separate"/>
      </w:r>
      <w:r>
        <w:rPr>
          <w:rFonts w:hint="eastAsia" w:ascii="宋体" w:hAnsi="宋体" w:eastAsia="宋体" w:cs="Times New Roman"/>
          <w:snapToGrid w:val="0"/>
          <w:sz w:val="28"/>
          <w:szCs w:val="28"/>
        </w:rPr>
        <w:t>④</w:t>
      </w:r>
      <w:r>
        <w:rPr>
          <w:rFonts w:hint="eastAsia" w:ascii="宋体" w:hAnsi="宋体" w:eastAsia="宋体" w:cs="Times New Roman"/>
          <w:snapToGrid w:val="0"/>
          <w:sz w:val="28"/>
          <w:szCs w:val="28"/>
        </w:rPr>
        <w:fldChar w:fldCharType="end"/>
      </w:r>
      <w:r>
        <w:rPr>
          <w:rFonts w:hint="eastAsia" w:ascii="宋体" w:hAnsi="宋体" w:eastAsia="宋体" w:cs="Times New Roman"/>
          <w:snapToGrid w:val="0"/>
          <w:sz w:val="28"/>
          <w:szCs w:val="28"/>
        </w:rPr>
        <w:t>西部</w:t>
      </w:r>
      <w:r>
        <w:rPr>
          <w:rFonts w:hint="eastAsia" w:hAnsi="宋体" w:cs="Times New Roman"/>
          <w:snapToGrid w:val="0"/>
          <w:sz w:val="28"/>
          <w:szCs w:val="28"/>
        </w:rPr>
        <w:t>边界：西部边界以甘润为界分为南北两段。南段由晋获褶断带构成，由于受断头山倒转背斜影响，O</w:t>
      </w:r>
      <w:r>
        <w:rPr>
          <w:rFonts w:hint="eastAsia" w:hAnsi="宋体" w:cs="Times New Roman"/>
          <w:snapToGrid w:val="0"/>
          <w:sz w:val="28"/>
          <w:szCs w:val="28"/>
          <w:vertAlign w:val="subscript"/>
        </w:rPr>
        <w:t>2</w:t>
      </w:r>
      <w:r>
        <w:rPr>
          <w:rFonts w:hint="eastAsia" w:hAnsi="宋体" w:cs="Times New Roman"/>
          <w:snapToGrid w:val="0"/>
          <w:sz w:val="28"/>
          <w:szCs w:val="28"/>
        </w:rPr>
        <w:t>峰峰组厚达几十米的角砾状灰岩、泥灰岩呈串珠状出露地表，使O</w:t>
      </w:r>
      <w:r>
        <w:rPr>
          <w:rFonts w:hint="eastAsia" w:hAnsi="宋体" w:cs="Times New Roman"/>
          <w:snapToGrid w:val="0"/>
          <w:sz w:val="28"/>
          <w:szCs w:val="28"/>
          <w:vertAlign w:val="subscript"/>
        </w:rPr>
        <w:t>1</w:t>
      </w:r>
      <w:r>
        <w:rPr>
          <w:rFonts w:hint="eastAsia" w:hAnsi="宋体" w:cs="Times New Roman"/>
          <w:snapToGrid w:val="0"/>
          <w:sz w:val="28"/>
          <w:szCs w:val="28"/>
        </w:rPr>
        <w:t>白云岩弱透水层被抬升到水位以上，且层面近于垂直，该段边界为阻水边界。</w:t>
      </w:r>
    </w:p>
    <w:p w14:paraId="6DF48A38">
      <w:pPr>
        <w:pStyle w:val="17"/>
        <w:keepNext w:val="0"/>
        <w:keepLines w:val="0"/>
        <w:pageBreakBefore w:val="0"/>
        <w:widowControl w:val="0"/>
        <w:kinsoku/>
        <w:wordWrap/>
        <w:overflowPunct/>
        <w:topLinePunct w:val="0"/>
        <w:autoSpaceDE/>
        <w:autoSpaceDN/>
        <w:bidi w:val="0"/>
        <w:snapToGrid w:val="0"/>
        <w:spacing w:line="360" w:lineRule="auto"/>
        <w:ind w:firstLine="560" w:firstLineChars="200"/>
        <w:textAlignment w:val="auto"/>
        <w:rPr>
          <w:rFonts w:hint="eastAsia" w:hAnsi="宋体" w:cs="Times New Roman"/>
          <w:snapToGrid w:val="0"/>
          <w:sz w:val="28"/>
          <w:szCs w:val="28"/>
        </w:rPr>
      </w:pPr>
      <w:r>
        <w:rPr>
          <w:rFonts w:hint="eastAsia" w:hAnsi="宋体" w:cs="Times New Roman"/>
          <w:snapToGrid w:val="0"/>
          <w:sz w:val="28"/>
          <w:szCs w:val="28"/>
        </w:rPr>
        <w:t>甘润以北至高平，由于构造应力减弱，形迹表现为宽缓的褶皱带，沿北东向延伸，地面大都被新生界地层覆盖。甘润以北沿来村～向阳～南陈～康营～蜂儿背一带，其走向与泉域岩溶地下水等水位线垂直，以地下分水岭为界，从蜂儿背以北至高平一带，地下分水岭基本沿着地表分水岭展布。</w:t>
      </w:r>
    </w:p>
    <w:p w14:paraId="1BBC25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w:t>
      </w:r>
      <w:r>
        <w:rPr>
          <w:rFonts w:hint="eastAsia" w:ascii="Times New Roman" w:hAnsi="Times New Roman" w:eastAsia="宋体"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）泉域</w:t>
      </w:r>
      <w:r>
        <w:rPr>
          <w:rFonts w:hint="eastAsia" w:ascii="Times New Roman" w:hAnsi="Times New Roman" w:eastAsia="宋体" w:cs="Times New Roman"/>
          <w:color w:val="auto"/>
          <w:sz w:val="28"/>
          <w:szCs w:val="28"/>
          <w:lang w:val="en-US" w:eastAsia="zh-CN"/>
        </w:rPr>
        <w:t>重点保护区</w:t>
      </w:r>
    </w:p>
    <w:p w14:paraId="092ED6FC">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napToGrid w:val="0"/>
          <w:sz w:val="28"/>
          <w:szCs w:val="28"/>
        </w:rPr>
      </w:pPr>
      <w:r>
        <w:rPr>
          <w:rFonts w:hint="default" w:ascii="Times New Roman" w:hAnsi="Times New Roman" w:eastAsia="宋体" w:cs="Times New Roman"/>
          <w:snapToGrid w:val="0"/>
          <w:sz w:val="28"/>
          <w:szCs w:val="28"/>
        </w:rPr>
        <w:t>泉域重点保护范围包括：郭壁泉重点保护区、三姑泉重点保护区、高平丹河渗漏段重点保护区和白水河灰岩渗漏段重点保护区。四个保护区面积总共为58.5km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w:t>
      </w:r>
    </w:p>
    <w:p w14:paraId="712D0395">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napToGrid w:val="0"/>
          <w:sz w:val="28"/>
          <w:szCs w:val="28"/>
        </w:rPr>
      </w:pPr>
      <w:r>
        <w:rPr>
          <w:rFonts w:hint="default" w:ascii="Times New Roman" w:hAnsi="Times New Roman" w:eastAsia="宋体" w:cs="Times New Roman"/>
          <w:snapToGrid w:val="0"/>
          <w:sz w:val="28"/>
          <w:szCs w:val="28"/>
        </w:rPr>
        <w:t>郭壁泉重点保护区：沿丹河北起河东村，南至苇滩，包括两岸500m及5716厂，面积21.02km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。区内有白洋泉、郭壁泉、土坡泉、苇滩泉及郭壁水源地。</w:t>
      </w:r>
    </w:p>
    <w:p w14:paraId="39956682">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napToGrid w:val="0"/>
          <w:sz w:val="28"/>
          <w:szCs w:val="28"/>
        </w:rPr>
      </w:pPr>
      <w:r>
        <w:rPr>
          <w:rFonts w:hint="default" w:ascii="Times New Roman" w:hAnsi="Times New Roman" w:eastAsia="宋体" w:cs="Times New Roman"/>
          <w:snapToGrid w:val="0"/>
          <w:sz w:val="28"/>
          <w:szCs w:val="28"/>
        </w:rPr>
        <w:t>三姑泉重点保护区：北起南背村南500m，西至双窑村东及怀峪村一带，南至省界，面积15.51km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，是规划的晋城市新水源地。区内重要泉水有三姑泉。</w:t>
      </w:r>
    </w:p>
    <w:p w14:paraId="5EDFDFE1">
      <w:pPr>
        <w:pStyle w:val="17"/>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snapToGrid w:val="0"/>
          <w:sz w:val="28"/>
          <w:szCs w:val="28"/>
          <w:lang w:val="en-US" w:eastAsia="zh-CN"/>
        </w:rPr>
      </w:pPr>
      <w:r>
        <w:rPr>
          <w:rFonts w:hint="default" w:ascii="Times New Roman" w:hAnsi="Times New Roman" w:eastAsia="宋体" w:cs="Times New Roman"/>
          <w:snapToGrid w:val="0"/>
          <w:sz w:val="28"/>
          <w:szCs w:val="28"/>
        </w:rPr>
        <w:t>高平丹河渗漏段重点保护区：北起北王庄，南至韩庄，西至铁路以西300m</w:t>
      </w:r>
      <w:r>
        <w:rPr>
          <w:rFonts w:hint="eastAsia" w:ascii="Times New Roman" w:hAnsi="Times New Roman" w:cs="Times New Roman"/>
          <w:snapToGrid w:val="0"/>
          <w:sz w:val="28"/>
          <w:szCs w:val="28"/>
          <w:lang w:val="en-US" w:eastAsia="zh-CN"/>
        </w:rPr>
        <w:t>,</w:t>
      </w:r>
      <w:r>
        <w:rPr>
          <w:rFonts w:hint="default" w:ascii="Times New Roman" w:hAnsi="Times New Roman" w:eastAsia="宋体" w:cs="Times New Roman"/>
          <w:snapToGrid w:val="0"/>
          <w:sz w:val="28"/>
          <w:szCs w:val="28"/>
        </w:rPr>
        <w:t>东至丹河现代河道东500m，总面积约12km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rPr>
        <w:t>。</w:t>
      </w:r>
      <w:r>
        <w:rPr>
          <w:rFonts w:hint="eastAsia" w:ascii="Times New Roman" w:hAnsi="Times New Roman" w:cs="Times New Roman"/>
          <w:snapToGrid w:val="0"/>
          <w:sz w:val="28"/>
          <w:szCs w:val="28"/>
          <w:lang w:val="en-US" w:eastAsia="zh-CN"/>
        </w:rPr>
        <w:t>此保护区不在本次规划范围内。</w:t>
      </w:r>
    </w:p>
    <w:p w14:paraId="4024E3C6">
      <w:pPr>
        <w:pStyle w:val="31"/>
        <w:keepNext w:val="0"/>
        <w:keepLines w:val="0"/>
        <w:pageBreakBefore w:val="0"/>
        <w:widowControl w:val="0"/>
        <w:kinsoku/>
        <w:wordWrap/>
        <w:overflowPunct/>
        <w:topLinePunct w:val="0"/>
        <w:autoSpaceDE/>
        <w:autoSpaceDN/>
        <w:bidi w:val="0"/>
        <w:adjustRightInd w:val="0"/>
        <w:snapToGrid w:val="0"/>
        <w:spacing w:after="0" w:line="360" w:lineRule="auto"/>
        <w:ind w:firstLine="560" w:firstLineChars="200"/>
        <w:textAlignment w:val="auto"/>
        <w:rPr>
          <w:rFonts w:hint="default" w:ascii="Times New Roman" w:hAnsi="Times New Roman" w:eastAsia="宋体" w:cs="Times New Roman"/>
          <w:snapToGrid w:val="0"/>
          <w:sz w:val="28"/>
          <w:szCs w:val="28"/>
          <w:lang w:eastAsia="zh-CN"/>
        </w:rPr>
      </w:pPr>
      <w:r>
        <w:rPr>
          <w:rFonts w:hint="default" w:ascii="Times New Roman" w:hAnsi="Times New Roman" w:eastAsia="宋体" w:cs="Times New Roman"/>
          <w:snapToGrid w:val="0"/>
          <w:sz w:val="28"/>
          <w:szCs w:val="28"/>
        </w:rPr>
        <w:t>白水河灰岩渗漏段重点保护区：北起晋城市区以南二级公路，自北而南沿白水河至甘寺，包括东、西两岸各500m</w:t>
      </w:r>
      <w:r>
        <w:rPr>
          <w:rFonts w:hint="eastAsia" w:ascii="Times New Roman" w:hAnsi="Times New Roman" w:eastAsia="宋体" w:cs="Times New Roman"/>
          <w:snapToGrid w:val="0"/>
          <w:sz w:val="28"/>
          <w:szCs w:val="28"/>
          <w:lang w:eastAsia="zh-CN"/>
        </w:rPr>
        <w:t>，</w:t>
      </w:r>
      <w:r>
        <w:rPr>
          <w:rFonts w:hint="default" w:ascii="Times New Roman" w:hAnsi="Times New Roman" w:eastAsia="宋体" w:cs="Times New Roman"/>
          <w:snapToGrid w:val="0"/>
          <w:sz w:val="28"/>
          <w:szCs w:val="28"/>
        </w:rPr>
        <w:t>面积约10km</w:t>
      </w:r>
      <w:r>
        <w:rPr>
          <w:rFonts w:hint="default" w:ascii="Times New Roman" w:hAnsi="Times New Roman" w:eastAsia="宋体" w:cs="Times New Roman"/>
          <w:snapToGrid w:val="0"/>
          <w:sz w:val="28"/>
          <w:szCs w:val="28"/>
          <w:vertAlign w:val="superscript"/>
        </w:rPr>
        <w:t>2</w:t>
      </w:r>
      <w:r>
        <w:rPr>
          <w:rFonts w:hint="default" w:ascii="Times New Roman" w:hAnsi="Times New Roman" w:eastAsia="宋体" w:cs="Times New Roman"/>
          <w:snapToGrid w:val="0"/>
          <w:sz w:val="28"/>
          <w:szCs w:val="28"/>
          <w:lang w:eastAsia="zh-CN"/>
        </w:rPr>
        <w:t>。</w:t>
      </w:r>
    </w:p>
    <w:p w14:paraId="14FA68C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eastAsia="宋体" w:cs="Times New Roman"/>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（4）</w:t>
      </w:r>
      <w:r>
        <w:rPr>
          <w:rFonts w:hint="eastAsia" w:eastAsia="宋体" w:cs="Times New Roman"/>
          <w:color w:val="auto"/>
          <w:sz w:val="28"/>
          <w:szCs w:val="28"/>
          <w:lang w:val="en-US" w:eastAsia="zh-CN"/>
        </w:rPr>
        <w:t>占地范围</w:t>
      </w:r>
    </w:p>
    <w:p w14:paraId="596165E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default" w:eastAsia="宋体" w:cs="Times New Roman"/>
          <w:color w:val="auto"/>
          <w:sz w:val="28"/>
          <w:szCs w:val="28"/>
          <w:highlight w:val="yellow"/>
          <w:vertAlign w:val="baseline"/>
          <w:lang w:val="en-US" w:eastAsia="zh-CN"/>
        </w:rPr>
      </w:pPr>
      <w:r>
        <w:rPr>
          <w:rFonts w:hint="eastAsia" w:eastAsia="宋体" w:cs="Times New Roman"/>
          <w:color w:val="auto"/>
          <w:sz w:val="28"/>
          <w:szCs w:val="28"/>
          <w:highlight w:val="none"/>
          <w:lang w:val="en-US" w:eastAsia="zh-CN"/>
        </w:rPr>
        <w:t>经统计，三姑泉域在泽州县范围内总面积为1017.67km</w:t>
      </w:r>
      <w:r>
        <w:rPr>
          <w:rFonts w:hint="eastAsia" w:eastAsia="宋体" w:cs="Times New Roman"/>
          <w:color w:val="auto"/>
          <w:sz w:val="28"/>
          <w:szCs w:val="28"/>
          <w:highlight w:val="none"/>
          <w:vertAlign w:val="superscript"/>
          <w:lang w:val="en-US" w:eastAsia="zh-CN"/>
        </w:rPr>
        <w:t>2</w:t>
      </w:r>
      <w:r>
        <w:rPr>
          <w:rFonts w:hint="eastAsia" w:eastAsia="宋体" w:cs="Times New Roman"/>
          <w:color w:val="auto"/>
          <w:sz w:val="28"/>
          <w:szCs w:val="28"/>
          <w:highlight w:val="none"/>
          <w:vertAlign w:val="baseline"/>
          <w:lang w:val="en-US" w:eastAsia="zh-CN"/>
        </w:rPr>
        <w:t>。</w:t>
      </w:r>
    </w:p>
    <w:p w14:paraId="2FCF460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60" w:firstLineChars="200"/>
        <w:textAlignment w:val="auto"/>
        <w:rPr>
          <w:rFonts w:hint="eastAsia" w:eastAsia="宋体"/>
          <w:sz w:val="28"/>
          <w:szCs w:val="28"/>
          <w:lang w:val="en-US" w:eastAsia="zh-CN"/>
        </w:rPr>
      </w:pPr>
      <w:r>
        <w:rPr>
          <w:rFonts w:hint="eastAsia" w:ascii="Times New Roman" w:hAnsi="Times New Roman" w:eastAsia="宋体" w:cs="Times New Roman"/>
          <w:kern w:val="2"/>
          <w:sz w:val="28"/>
          <w:szCs w:val="28"/>
          <w:lang w:val="en-US" w:eastAsia="zh-CN" w:bidi="ar-SA"/>
        </w:rPr>
        <w:t>2、</w:t>
      </w:r>
      <w:r>
        <w:rPr>
          <w:rFonts w:hint="eastAsia" w:eastAsia="宋体"/>
          <w:sz w:val="28"/>
          <w:szCs w:val="28"/>
          <w:lang w:val="en-US" w:eastAsia="zh-CN"/>
        </w:rPr>
        <w:t>延河泉域</w:t>
      </w:r>
    </w:p>
    <w:p w14:paraId="019BCE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560" w:firstLineChars="200"/>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（1）泉域基本情况</w:t>
      </w:r>
    </w:p>
    <w:p w14:paraId="1170D78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延河泉域地处太行山南段西麓，行政区划上跨越阳城县、泽州县、高平市和沁水县，总面积2840km</w:t>
      </w:r>
      <w:r>
        <w:rPr>
          <w:rFonts w:hint="eastAsia" w:ascii="Times New Roman" w:hAnsi="Times New Roman" w:eastAsia="宋体" w:cs="Times New Roman"/>
          <w:color w:val="auto"/>
          <w:sz w:val="28"/>
          <w:szCs w:val="28"/>
          <w:vertAlign w:val="superscript"/>
          <w:lang w:val="en-US" w:eastAsia="zh-CN"/>
        </w:rPr>
        <w:t>2</w:t>
      </w:r>
      <w:r>
        <w:rPr>
          <w:rFonts w:hint="eastAsia" w:ascii="Times New Roman" w:hAnsi="Times New Roman" w:eastAsia="宋体" w:cs="Times New Roman"/>
          <w:color w:val="auto"/>
          <w:sz w:val="28"/>
          <w:szCs w:val="28"/>
          <w:lang w:val="en-US" w:eastAsia="zh-CN"/>
        </w:rPr>
        <w:t>。地理坐标为东经111°40′～112°40′，北纬35°15′～35°50′。延河泉又名马山泉，位于山西省阳城县东冶乡延河村东北的沁河西岸，沿沁河润城到五龙口长40km的河谷中还分布有八甲口泉、下河泉、晋圪坨泉、赵良泉、磨滩泉、黑水泉等泉群，构成了延河泉域岩溶水排泄带。</w:t>
      </w:r>
    </w:p>
    <w:p w14:paraId="2F81713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延河泉域位于太行山隆起之西南部，沁水凹陷的南部。区内各类构造形迹比较发育，主要有新华夏构造体系、东西向构造体系、南北向构造体系和北东向构造体系。泉域南部位于构造体系复合部位，断裂相互切割，岩石破碎，裂隙发育，不但为降雨入渗、地表水渗漏提供条件，同时形成地下水径流通道。可以说，大型构造控制了岩溶水系统边界，次级构造控制了地下水运动方向和排泄方式。</w:t>
      </w:r>
    </w:p>
    <w:p w14:paraId="5C6DCAED">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（2）泉域边界</w:t>
      </w:r>
    </w:p>
    <w:p w14:paraId="6E1EF1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延河泉域岩溶水系统的主要储水和运移空间是中奥陶统碳酸盐岩层，中奥陶统岩溶含水层构成巨大岩溶水盆地，接受大气降水、地表水、第四系孔隙水、石炭～二叠系裂隙水的补给，经中奥陶统岩溶含水层调蓄后，以岩溶泉的形式排入沁河，形成沁河排泄带。根据《关于山西省泉域边界范围及重点保护区划定的批复》，延河泉岩溶水系统的面积为2575km</w:t>
      </w:r>
      <w:r>
        <w:rPr>
          <w:rFonts w:hint="eastAsia"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rPr>
        <w:t>，其中裸露可溶岩面积1357km</w:t>
      </w:r>
      <w:r>
        <w:rPr>
          <w:rFonts w:hint="eastAsia"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rPr>
        <w:t>。延河泉域边界情况如下：</w:t>
      </w:r>
    </w:p>
    <w:p w14:paraId="6D68652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fldChar w:fldCharType="begin"/>
      </w:r>
      <w:r>
        <w:rPr>
          <w:rFonts w:hint="eastAsia" w:ascii="Times New Roman" w:hAnsi="Times New Roman" w:eastAsia="宋体" w:cs="Times New Roman"/>
          <w:color w:val="auto"/>
          <w:sz w:val="28"/>
          <w:szCs w:val="28"/>
        </w:rPr>
        <w:instrText xml:space="preserve"> = 1 \* GB3 \* MERGEFORMAT </w:instrText>
      </w:r>
      <w:r>
        <w:rPr>
          <w:rFonts w:hint="eastAsia" w:ascii="Times New Roman" w:hAnsi="Times New Roman" w:eastAsia="宋体" w:cs="Times New Roman"/>
          <w:color w:val="auto"/>
          <w:sz w:val="28"/>
          <w:szCs w:val="28"/>
        </w:rPr>
        <w:fldChar w:fldCharType="separate"/>
      </w:r>
      <w:r>
        <w:t>①</w:t>
      </w:r>
      <w:r>
        <w:rPr>
          <w:rFonts w:hint="eastAsia" w:ascii="Times New Roman" w:hAnsi="Times New Roman" w:eastAsia="宋体" w:cs="Times New Roman"/>
          <w:color w:val="auto"/>
          <w:sz w:val="28"/>
          <w:szCs w:val="28"/>
        </w:rPr>
        <w:fldChar w:fldCharType="end"/>
      </w:r>
      <w:r>
        <w:rPr>
          <w:rFonts w:hint="eastAsia" w:ascii="Times New Roman" w:hAnsi="Times New Roman" w:eastAsia="宋体" w:cs="Times New Roman"/>
          <w:color w:val="auto"/>
          <w:sz w:val="28"/>
          <w:szCs w:val="28"/>
        </w:rPr>
        <w:t>东部边界</w:t>
      </w:r>
    </w:p>
    <w:p w14:paraId="7B79F6C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南段：以晋获褶断带与三姑泉域为界。该段晋获褶断带为一组压扭性断裂及侧转的背斜组成，南北走向与地形分水岭一致。自南向北由泽州县石盘-五门-南连氏-甘润。北段：与丹河和沁河地表分水岭一致，地表主要出露石炭、二叠系地层，下伏中奥陶含水层相联通，为一可移动的地下分水岭，局部导水。自南向北由甘润-中村-武神山。</w:t>
      </w:r>
    </w:p>
    <w:p w14:paraId="58D27A8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fldChar w:fldCharType="begin"/>
      </w:r>
      <w:r>
        <w:rPr>
          <w:rFonts w:hint="eastAsia" w:ascii="Times New Roman" w:hAnsi="Times New Roman" w:eastAsia="宋体" w:cs="Times New Roman"/>
          <w:color w:val="auto"/>
          <w:sz w:val="28"/>
          <w:szCs w:val="28"/>
        </w:rPr>
        <w:instrText xml:space="preserve"> = 2 \* GB3 \* MERGEFORMAT </w:instrText>
      </w:r>
      <w:r>
        <w:rPr>
          <w:rFonts w:hint="eastAsia" w:ascii="Times New Roman" w:hAnsi="Times New Roman" w:eastAsia="宋体" w:cs="Times New Roman"/>
          <w:color w:val="auto"/>
          <w:sz w:val="28"/>
          <w:szCs w:val="28"/>
        </w:rPr>
        <w:fldChar w:fldCharType="separate"/>
      </w:r>
      <w:r>
        <w:t>②</w:t>
      </w:r>
      <w:r>
        <w:rPr>
          <w:rFonts w:hint="eastAsia" w:ascii="Times New Roman" w:hAnsi="Times New Roman" w:eastAsia="宋体" w:cs="Times New Roman"/>
          <w:color w:val="auto"/>
          <w:sz w:val="28"/>
          <w:szCs w:val="28"/>
        </w:rPr>
        <w:fldChar w:fldCharType="end"/>
      </w:r>
      <w:r>
        <w:rPr>
          <w:rFonts w:hint="eastAsia" w:ascii="Times New Roman" w:hAnsi="Times New Roman" w:eastAsia="宋体" w:cs="Times New Roman"/>
          <w:color w:val="auto"/>
          <w:sz w:val="28"/>
          <w:szCs w:val="28"/>
        </w:rPr>
        <w:t>南部边界</w:t>
      </w:r>
    </w:p>
    <w:p w14:paraId="73BCFD7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南部边界与地表分水岭一致，地表分布长城系及下寒武统隔水岩层，为一阻水边界。自东向西由石盘-核桃园-范洼-双窝沟-西交-阳坡-小河湾。</w:t>
      </w:r>
    </w:p>
    <w:p w14:paraId="7DB9E31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fldChar w:fldCharType="begin"/>
      </w:r>
      <w:r>
        <w:rPr>
          <w:rFonts w:hint="eastAsia" w:ascii="Times New Roman" w:hAnsi="Times New Roman" w:eastAsia="宋体" w:cs="Times New Roman"/>
          <w:color w:val="auto"/>
          <w:sz w:val="28"/>
          <w:szCs w:val="28"/>
        </w:rPr>
        <w:instrText xml:space="preserve"> = 3 \* GB3 \* MERGEFORMAT </w:instrText>
      </w:r>
      <w:r>
        <w:rPr>
          <w:rFonts w:hint="eastAsia" w:ascii="Times New Roman" w:hAnsi="Times New Roman" w:eastAsia="宋体" w:cs="Times New Roman"/>
          <w:color w:val="auto"/>
          <w:sz w:val="28"/>
          <w:szCs w:val="28"/>
        </w:rPr>
        <w:fldChar w:fldCharType="separate"/>
      </w:r>
      <w:r>
        <w:t>③</w:t>
      </w:r>
      <w:r>
        <w:rPr>
          <w:rFonts w:hint="eastAsia" w:ascii="Times New Roman" w:hAnsi="Times New Roman" w:eastAsia="宋体" w:cs="Times New Roman"/>
          <w:color w:val="auto"/>
          <w:sz w:val="28"/>
          <w:szCs w:val="28"/>
        </w:rPr>
        <w:fldChar w:fldCharType="end"/>
      </w:r>
      <w:r>
        <w:rPr>
          <w:rFonts w:hint="eastAsia" w:ascii="Times New Roman" w:hAnsi="Times New Roman" w:eastAsia="宋体" w:cs="Times New Roman"/>
          <w:color w:val="auto"/>
          <w:sz w:val="28"/>
          <w:szCs w:val="28"/>
        </w:rPr>
        <w:t>西部边界</w:t>
      </w:r>
    </w:p>
    <w:p w14:paraId="5CC9B2A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该边界为沁河与汾河的分水岭，由于断层作用，使断层西侧长城系砂页岩与东侧寒武、奥陶系含水层接触，形成阻水边界。自南向北由小河湾-上峪-中村-鹿台山。</w:t>
      </w:r>
    </w:p>
    <w:p w14:paraId="7FA382F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fldChar w:fldCharType="begin"/>
      </w:r>
      <w:r>
        <w:rPr>
          <w:rFonts w:hint="eastAsia" w:ascii="Times New Roman" w:hAnsi="Times New Roman" w:eastAsia="宋体" w:cs="Times New Roman"/>
          <w:color w:val="auto"/>
          <w:sz w:val="28"/>
          <w:szCs w:val="28"/>
        </w:rPr>
        <w:instrText xml:space="preserve"> = 4 \* GB3 \* MERGEFORMAT </w:instrText>
      </w:r>
      <w:r>
        <w:rPr>
          <w:rFonts w:hint="eastAsia" w:ascii="Times New Roman" w:hAnsi="Times New Roman" w:eastAsia="宋体" w:cs="Times New Roman"/>
          <w:color w:val="auto"/>
          <w:sz w:val="28"/>
          <w:szCs w:val="28"/>
        </w:rPr>
        <w:fldChar w:fldCharType="separate"/>
      </w:r>
      <w:r>
        <w:t>④</w:t>
      </w:r>
      <w:r>
        <w:rPr>
          <w:rFonts w:hint="eastAsia" w:ascii="Times New Roman" w:hAnsi="Times New Roman" w:eastAsia="宋体" w:cs="Times New Roman"/>
          <w:color w:val="auto"/>
          <w:sz w:val="28"/>
          <w:szCs w:val="28"/>
        </w:rPr>
        <w:fldChar w:fldCharType="end"/>
      </w:r>
      <w:r>
        <w:rPr>
          <w:rFonts w:hint="eastAsia" w:ascii="Times New Roman" w:hAnsi="Times New Roman" w:eastAsia="宋体" w:cs="Times New Roman"/>
          <w:color w:val="auto"/>
          <w:sz w:val="28"/>
          <w:szCs w:val="28"/>
        </w:rPr>
        <w:t>北部边界</w:t>
      </w:r>
    </w:p>
    <w:p w14:paraId="78D3EC2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rPr>
        <w:t>北部边界较长，地表分布二叠、三叠系砂页岩地层，寒武、奥陶系碳酸盐岩埋深在380～450m，岩溶地下水处于滞流或缓流状态。由于沿寺头等断层形成的地堑，使煤系地层与奥陶系灰岩接触，起到了阻水作用，为阻水边界，自西向东由鹿台山-西庄-朝阳地-武神山</w:t>
      </w:r>
      <w:r>
        <w:rPr>
          <w:rFonts w:hint="eastAsia" w:ascii="Times New Roman" w:hAnsi="Times New Roman" w:eastAsia="宋体" w:cs="Times New Roman"/>
          <w:color w:val="auto"/>
          <w:sz w:val="28"/>
          <w:szCs w:val="28"/>
          <w:lang w:eastAsia="zh-CN"/>
        </w:rPr>
        <w:t>。</w:t>
      </w:r>
    </w:p>
    <w:p w14:paraId="042F7AE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60" w:firstLineChars="200"/>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（3）泉域重点保护区</w:t>
      </w:r>
    </w:p>
    <w:p w14:paraId="50B4C81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eastAsia="宋体"/>
          <w:sz w:val="28"/>
          <w:szCs w:val="28"/>
          <w:lang w:val="en-US" w:eastAsia="zh-CN"/>
        </w:rPr>
      </w:pPr>
      <w:r>
        <w:rPr>
          <w:rFonts w:hint="eastAsia" w:ascii="Times New Roman" w:hAnsi="Times New Roman" w:eastAsia="宋体" w:cs="Times New Roman"/>
          <w:color w:val="auto"/>
          <w:sz w:val="28"/>
          <w:szCs w:val="28"/>
        </w:rPr>
        <w:t>根据山西省人民政府《关于山西省泉域边界范围及重点保护区划定的批复》（晋政函</w:t>
      </w:r>
      <w:r>
        <w:rPr>
          <w:rFonts w:hint="eastAsia" w:ascii="宋体" w:hAnsi="宋体" w:eastAsia="宋体" w:cs="宋体"/>
          <w:color w:val="auto"/>
          <w:sz w:val="28"/>
          <w:szCs w:val="28"/>
        </w:rPr>
        <w:t>〔</w:t>
      </w:r>
      <w:r>
        <w:rPr>
          <w:rFonts w:hint="eastAsia" w:ascii="Times New Roman" w:hAnsi="Times New Roman" w:eastAsia="宋体" w:cs="Times New Roman"/>
          <w:color w:val="auto"/>
          <w:sz w:val="28"/>
          <w:szCs w:val="28"/>
        </w:rPr>
        <w:t>1998</w:t>
      </w:r>
      <w:r>
        <w:rPr>
          <w:rFonts w:hint="eastAsia" w:ascii="宋体" w:hAnsi="宋体" w:eastAsia="宋体" w:cs="宋体"/>
          <w:color w:val="auto"/>
          <w:sz w:val="28"/>
          <w:szCs w:val="28"/>
        </w:rPr>
        <w:t>〕</w:t>
      </w:r>
      <w:r>
        <w:rPr>
          <w:rFonts w:hint="eastAsia" w:ascii="Times New Roman" w:hAnsi="Times New Roman" w:eastAsia="宋体" w:cs="Times New Roman"/>
          <w:color w:val="auto"/>
          <w:sz w:val="28"/>
          <w:szCs w:val="28"/>
        </w:rPr>
        <w:t>137号）和山西省水资源管理委员会办公室《山西省泉域边界范围及重点保护区》，延河泉有重点保护区两个：一是延河泉水出露处保护区：以延河泉口为中心，周围1km</w:t>
      </w:r>
      <w:r>
        <w:rPr>
          <w:rFonts w:hint="eastAsia"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rPr>
        <w:t>范围的河谷及山地。二是下河泉保护区：沿沁河河谷、北起润城、刘善村北、向南沿沁河河谷经河头、下河、东庄北至阳城水轮泵站西边河谷，沿芦苇河河谷向上游经八甲口、上孔至关泉南的河谷中。两处保护区面积共12.28km</w:t>
      </w:r>
      <w:r>
        <w:rPr>
          <w:rFonts w:hint="eastAsia" w:ascii="Times New Roman" w:hAnsi="Times New Roman" w:eastAsia="宋体" w:cs="Times New Roman"/>
          <w:color w:val="auto"/>
          <w:sz w:val="28"/>
          <w:szCs w:val="28"/>
          <w:vertAlign w:val="superscript"/>
        </w:rPr>
        <w:t>2</w:t>
      </w:r>
      <w:r>
        <w:rPr>
          <w:rFonts w:hint="eastAsia" w:ascii="Times New Roman" w:hAnsi="Times New Roman" w:eastAsia="宋体" w:cs="Times New Roman"/>
          <w:color w:val="auto"/>
          <w:sz w:val="28"/>
          <w:szCs w:val="28"/>
          <w:lang w:val="en-US" w:eastAsia="zh-CN"/>
        </w:rPr>
        <w:t>。</w:t>
      </w:r>
    </w:p>
    <w:p w14:paraId="062D7E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eastAsia="宋体" w:cs="Times New Roman"/>
          <w:color w:val="auto"/>
          <w:sz w:val="28"/>
          <w:szCs w:val="28"/>
          <w:highlight w:val="none"/>
          <w:lang w:val="en-US" w:eastAsia="zh-CN"/>
        </w:rPr>
      </w:pPr>
      <w:r>
        <w:rPr>
          <w:rFonts w:hint="eastAsia" w:eastAsia="宋体" w:cs="Times New Roman"/>
          <w:color w:val="auto"/>
          <w:sz w:val="28"/>
          <w:szCs w:val="28"/>
          <w:highlight w:val="none"/>
          <w:lang w:val="en-US" w:eastAsia="zh-CN"/>
        </w:rPr>
        <w:t>经统计</w:t>
      </w:r>
      <w:r>
        <w:rPr>
          <w:rFonts w:hint="eastAsia" w:ascii="Times New Roman" w:hAnsi="Times New Roman" w:eastAsia="宋体" w:cs="Times New Roman"/>
          <w:color w:val="auto"/>
          <w:sz w:val="28"/>
          <w:szCs w:val="28"/>
          <w:highlight w:val="none"/>
        </w:rPr>
        <w:t>延河泉</w:t>
      </w:r>
      <w:r>
        <w:rPr>
          <w:rFonts w:hint="eastAsia" w:eastAsia="宋体" w:cs="Times New Roman"/>
          <w:color w:val="auto"/>
          <w:sz w:val="28"/>
          <w:szCs w:val="28"/>
          <w:highlight w:val="none"/>
          <w:lang w:val="en-US" w:eastAsia="zh-CN"/>
        </w:rPr>
        <w:t>域在泽州县范围内总面积为624.78km</w:t>
      </w:r>
      <w:r>
        <w:rPr>
          <w:rFonts w:hint="eastAsia" w:eastAsia="宋体" w:cs="Times New Roman"/>
          <w:color w:val="auto"/>
          <w:sz w:val="28"/>
          <w:szCs w:val="28"/>
          <w:highlight w:val="none"/>
          <w:vertAlign w:val="superscript"/>
          <w:lang w:val="en-US" w:eastAsia="zh-CN"/>
        </w:rPr>
        <w:t>2</w:t>
      </w:r>
      <w:r>
        <w:rPr>
          <w:rFonts w:hint="eastAsia" w:eastAsia="宋体" w:cs="Times New Roman"/>
          <w:color w:val="auto"/>
          <w:sz w:val="28"/>
          <w:szCs w:val="28"/>
          <w:highlight w:val="none"/>
          <w:vertAlign w:val="baseline"/>
          <w:lang w:val="en-US" w:eastAsia="zh-CN"/>
        </w:rPr>
        <w:t>。</w:t>
      </w:r>
      <w:r>
        <w:rPr>
          <w:rFonts w:hint="eastAsia" w:eastAsia="宋体" w:cs="Times New Roman"/>
          <w:color w:val="auto"/>
          <w:sz w:val="28"/>
          <w:szCs w:val="28"/>
          <w:highlight w:val="none"/>
          <w:lang w:val="en-US" w:eastAsia="zh-CN"/>
        </w:rPr>
        <w:t xml:space="preserve">  </w:t>
      </w:r>
    </w:p>
    <w:p w14:paraId="0FC8C011"/>
    <w:p w14:paraId="0358B452">
      <w:pPr>
        <w:pStyle w:val="5"/>
      </w:pPr>
      <w:bookmarkStart w:id="107" w:name="_Toc22546"/>
      <w:r>
        <w:rPr>
          <w:rFonts w:hint="eastAsia"/>
          <w:lang w:val="en-US" w:eastAsia="zh-CN"/>
        </w:rPr>
        <w:t>6.3在</w:t>
      </w:r>
      <w:r>
        <w:t>建水利基础设施状况</w:t>
      </w:r>
      <w:bookmarkEnd w:id="107"/>
    </w:p>
    <w:p w14:paraId="596A8A3F">
      <w:pPr>
        <w:pStyle w:val="2"/>
        <w:keepNext w:val="0"/>
        <w:keepLines w:val="0"/>
        <w:pageBreakBefore w:val="0"/>
        <w:widowControl w:val="0"/>
        <w:kinsoku/>
        <w:wordWrap/>
        <w:overflowPunct/>
        <w:topLinePunct w:val="0"/>
        <w:bidi w:val="0"/>
        <w:spacing w:line="360" w:lineRule="auto"/>
        <w:textAlignment w:val="auto"/>
        <w:rPr>
          <w:rFonts w:hint="default"/>
          <w:lang w:val="en-US" w:eastAsia="zh-CN"/>
        </w:rPr>
      </w:pPr>
      <w:r>
        <w:rPr>
          <w:rFonts w:hint="eastAsia"/>
          <w:lang w:val="en-US" w:eastAsia="zh-CN"/>
        </w:rPr>
        <w:t>目前，泽州县在建水利工程主要包括南部供水工程（一期）、南部供水工程（二期）、白洋泉河河道治理工程、白水河河道治理工程等，其中河道治理工程占地范围处于河道治导线范围内，工程施工时无新增占地，本次规划暂不统计。</w:t>
      </w:r>
    </w:p>
    <w:p w14:paraId="0F692F5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left"/>
        <w:textAlignment w:val="auto"/>
        <w:rPr>
          <w:rFonts w:hint="default" w:ascii="Times New Roman" w:hAnsi="Times New Roman" w:eastAsia="宋体" w:cs="Times New Roman"/>
          <w:b/>
          <w:sz w:val="28"/>
          <w:szCs w:val="28"/>
        </w:rPr>
      </w:pPr>
      <w:r>
        <w:rPr>
          <w:rFonts w:hint="eastAsia" w:eastAsia="宋体" w:cs="Times New Roman"/>
          <w:b/>
          <w:sz w:val="28"/>
          <w:szCs w:val="28"/>
          <w:lang w:eastAsia="zh-CN"/>
        </w:rPr>
        <w:t>（</w:t>
      </w:r>
      <w:r>
        <w:rPr>
          <w:rFonts w:hint="default" w:ascii="Times New Roman" w:hAnsi="Times New Roman" w:eastAsia="宋体" w:cs="Times New Roman"/>
          <w:b/>
          <w:sz w:val="28"/>
          <w:szCs w:val="28"/>
        </w:rPr>
        <w:t>1）</w:t>
      </w:r>
      <w:r>
        <w:rPr>
          <w:rFonts w:hint="eastAsia" w:eastAsia="宋体" w:cs="Times New Roman"/>
          <w:b/>
          <w:sz w:val="28"/>
          <w:szCs w:val="28"/>
          <w:lang w:val="en-US" w:eastAsia="zh-CN"/>
        </w:rPr>
        <w:t>郭壁供水及改扩建</w:t>
      </w:r>
      <w:r>
        <w:rPr>
          <w:rFonts w:hint="default" w:ascii="Times New Roman" w:hAnsi="Times New Roman" w:eastAsia="宋体" w:cs="Times New Roman"/>
          <w:b/>
          <w:sz w:val="28"/>
          <w:szCs w:val="28"/>
        </w:rPr>
        <w:t>工程</w:t>
      </w:r>
    </w:p>
    <w:p w14:paraId="741F6C5F">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1）工程概况</w:t>
      </w:r>
    </w:p>
    <w:p w14:paraId="09C1980D">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郭壁供水工程（原郭壁电灌站提水工程）位于丹河干流下游泽州县金村镇郭壁村东的珏山脚下丹河峡谷中，地理坐标为东经111°55′~113°37′，北纬35°11′~36°04′。郭壁电灌站</w:t>
      </w:r>
      <w:r>
        <w:rPr>
          <w:rFonts w:hint="default" w:ascii="Times New Roman" w:hAnsi="Times New Roman" w:eastAsia="宋体" w:cs="Times New Roman"/>
          <w:color w:val="auto"/>
          <w:sz w:val="28"/>
          <w:szCs w:val="28"/>
        </w:rPr>
        <w:t>提水</w:t>
      </w:r>
      <w:r>
        <w:rPr>
          <w:rFonts w:hint="default" w:ascii="Times New Roman" w:hAnsi="Times New Roman" w:eastAsia="宋体" w:cs="Times New Roman"/>
          <w:color w:val="auto"/>
          <w:sz w:val="28"/>
          <w:szCs w:val="28"/>
          <w:lang w:val="zh-CN"/>
        </w:rPr>
        <w:t>工程原规模为三级提水灌溉工程，总扬程为303m，提水流量为1.42m</w:t>
      </w:r>
      <w:r>
        <w:rPr>
          <w:rFonts w:hint="default" w:ascii="Times New Roman" w:hAnsi="Times New Roman" w:eastAsia="宋体" w:cs="Times New Roman"/>
          <w:color w:val="auto"/>
          <w:sz w:val="28"/>
          <w:szCs w:val="28"/>
          <w:vertAlign w:val="superscript"/>
          <w:lang w:val="zh-CN"/>
        </w:rPr>
        <w:t>3</w:t>
      </w:r>
      <w:r>
        <w:rPr>
          <w:rFonts w:hint="default" w:ascii="Times New Roman" w:hAnsi="Times New Roman" w:eastAsia="宋体" w:cs="Times New Roman"/>
          <w:color w:val="auto"/>
          <w:sz w:val="28"/>
          <w:szCs w:val="28"/>
          <w:lang w:val="zh-CN"/>
        </w:rPr>
        <w:t>/s，总装机为6285kW，设计发展灌溉面积5万亩，工程1974年11月动工兴建，1980年完建。1985年晋城实行市管县体制后，市区迅速扩大，市区工农业迅猛发展。1992年，经晋城市市政府批准，变更郭壁供水工程为以城市生活和农村人畜吃水为主，兼顾农业灌溉的多功能供水工程。</w:t>
      </w:r>
    </w:p>
    <w:p w14:paraId="0AB952BC">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随着城市经济的快速发展、市区扩容、现代设施农业及地下水位止降回升的要求，郭壁供水工程成为了晋城市城市生活用水重要的水源工程，这就对其供水能力及供水保证率提出了更高的要求。由于原工程运行时间较长，水泵机组设备老化，效率低下。泵站泵房及输水渠道破坏严重，供水能力受到了极大影响。因此，急需对该工程进行扩建改造。</w:t>
      </w:r>
    </w:p>
    <w:p w14:paraId="6A9B0D0F">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郭壁供水改扩建工程是在郭壁供水工程的基础上进行全面的扩建改造，主要包括水源地工程、泵站工程、蓄水池工程、供水管线工程、输变电工程等。改扩建后的郭壁供水工程供水能力将达到城镇生活供水2920万m</w:t>
      </w:r>
      <w:r>
        <w:rPr>
          <w:rFonts w:hint="default" w:ascii="Times New Roman" w:hAnsi="Times New Roman" w:eastAsia="宋体" w:cs="Times New Roman"/>
          <w:color w:val="auto"/>
          <w:sz w:val="28"/>
          <w:szCs w:val="28"/>
          <w:vertAlign w:val="superscript"/>
          <w:lang w:val="zh-CN"/>
        </w:rPr>
        <w:t>3</w:t>
      </w:r>
      <w:r>
        <w:rPr>
          <w:rFonts w:hint="default" w:ascii="Times New Roman" w:hAnsi="Times New Roman" w:eastAsia="宋体" w:cs="Times New Roman"/>
          <w:color w:val="auto"/>
          <w:sz w:val="28"/>
          <w:szCs w:val="28"/>
          <w:lang w:val="zh-CN"/>
        </w:rPr>
        <w:t>/a，农业灌溉供水746万m</w:t>
      </w:r>
      <w:r>
        <w:rPr>
          <w:rFonts w:hint="default" w:ascii="Times New Roman" w:hAnsi="Times New Roman" w:eastAsia="宋体" w:cs="Times New Roman"/>
          <w:color w:val="auto"/>
          <w:sz w:val="28"/>
          <w:szCs w:val="28"/>
          <w:vertAlign w:val="superscript"/>
          <w:lang w:val="zh-CN"/>
        </w:rPr>
        <w:t>3</w:t>
      </w:r>
      <w:r>
        <w:rPr>
          <w:rFonts w:hint="default" w:ascii="Times New Roman" w:hAnsi="Times New Roman" w:eastAsia="宋体" w:cs="Times New Roman"/>
          <w:color w:val="auto"/>
          <w:sz w:val="28"/>
          <w:szCs w:val="28"/>
          <w:lang w:val="zh-CN"/>
        </w:rPr>
        <w:t>/a。</w:t>
      </w:r>
    </w:p>
    <w:p w14:paraId="1864B2A7">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eastAsia" w:ascii="Times New Roman" w:hAnsi="Times New Roman" w:eastAsia="宋体" w:cs="Times New Roman"/>
          <w:color w:val="auto"/>
          <w:sz w:val="28"/>
          <w:szCs w:val="28"/>
          <w:lang w:val="en-US" w:eastAsia="zh-CN"/>
        </w:rPr>
        <w:t>2</w:t>
      </w:r>
      <w:r>
        <w:rPr>
          <w:rFonts w:hint="default" w:ascii="Times New Roman" w:hAnsi="Times New Roman" w:eastAsia="宋体" w:cs="Times New Roman"/>
          <w:color w:val="auto"/>
          <w:sz w:val="28"/>
          <w:szCs w:val="28"/>
          <w:lang w:val="zh-CN"/>
        </w:rPr>
        <w:t>）工程建设任务和工程规模。</w:t>
      </w:r>
    </w:p>
    <w:p w14:paraId="46792CE5">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eastAsia" w:ascii="Times New Roman" w:hAnsi="Times New Roman" w:eastAsia="宋体" w:cs="Times New Roman"/>
          <w:color w:val="auto"/>
          <w:sz w:val="28"/>
          <w:szCs w:val="28"/>
          <w:lang w:val="en-US" w:eastAsia="zh-CN"/>
        </w:rPr>
        <w:t>郭壁供水改扩建工程</w:t>
      </w:r>
      <w:r>
        <w:rPr>
          <w:rFonts w:hint="default" w:ascii="Times New Roman" w:hAnsi="Times New Roman" w:eastAsia="宋体" w:cs="Times New Roman"/>
          <w:color w:val="auto"/>
          <w:sz w:val="28"/>
          <w:szCs w:val="28"/>
          <w:lang w:val="zh-CN"/>
        </w:rPr>
        <w:t>以城市生活和农村人畜饮水为主，兼顾农业灌溉；泵站总装机为10780kW，设计提水流量为2.22m</w:t>
      </w:r>
      <w:r>
        <w:rPr>
          <w:rFonts w:hint="default" w:ascii="Times New Roman" w:hAnsi="Times New Roman" w:eastAsia="宋体" w:cs="Times New Roman"/>
          <w:color w:val="auto"/>
          <w:sz w:val="28"/>
          <w:szCs w:val="28"/>
          <w:vertAlign w:val="superscript"/>
          <w:lang w:val="zh-CN"/>
        </w:rPr>
        <w:t>3</w:t>
      </w:r>
      <w:r>
        <w:rPr>
          <w:rFonts w:hint="default" w:ascii="Times New Roman" w:hAnsi="Times New Roman" w:eastAsia="宋体" w:cs="Times New Roman"/>
          <w:color w:val="auto"/>
          <w:sz w:val="28"/>
          <w:szCs w:val="28"/>
          <w:lang w:val="zh-CN"/>
        </w:rPr>
        <w:t>/s，年供水总量为3666万m</w:t>
      </w:r>
      <w:r>
        <w:rPr>
          <w:rFonts w:hint="default" w:ascii="Times New Roman" w:hAnsi="Times New Roman" w:eastAsia="宋体" w:cs="Times New Roman"/>
          <w:color w:val="auto"/>
          <w:sz w:val="28"/>
          <w:szCs w:val="28"/>
          <w:vertAlign w:val="superscript"/>
          <w:lang w:val="zh-CN"/>
        </w:rPr>
        <w:t>3</w:t>
      </w:r>
      <w:r>
        <w:rPr>
          <w:rFonts w:hint="default" w:ascii="Times New Roman" w:hAnsi="Times New Roman" w:eastAsia="宋体" w:cs="Times New Roman"/>
          <w:color w:val="auto"/>
          <w:sz w:val="28"/>
          <w:szCs w:val="28"/>
          <w:lang w:val="zh-CN"/>
        </w:rPr>
        <w:t>。供水保证率：城市及农村人畜饮水为95%，农业灌溉为75%。</w:t>
      </w:r>
    </w:p>
    <w:p w14:paraId="31AE2E1B">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3）建设内容</w:t>
      </w:r>
    </w:p>
    <w:p w14:paraId="511D0208">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为了保证晋城市城区生活用水及原有灌区的农业用水，郭壁供水工程需对以下建设项目进行扩建改造：</w:t>
      </w:r>
    </w:p>
    <w:p w14:paraId="6FFCF0A7">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w:t>
      </w:r>
      <w:r>
        <w:rPr>
          <w:rFonts w:hint="eastAsia" w:ascii="Times New Roman" w:hAnsi="Times New Roman" w:eastAsia="宋体" w:cs="Times New Roman"/>
          <w:color w:val="auto"/>
          <w:sz w:val="28"/>
          <w:szCs w:val="28"/>
          <w:lang w:val="en-US" w:eastAsia="zh-CN"/>
        </w:rPr>
        <w:t>a</w:t>
      </w:r>
      <w:r>
        <w:rPr>
          <w:rFonts w:hint="default" w:ascii="Times New Roman" w:hAnsi="Times New Roman" w:eastAsia="宋体" w:cs="Times New Roman"/>
          <w:color w:val="auto"/>
          <w:sz w:val="28"/>
          <w:szCs w:val="28"/>
          <w:lang w:val="zh-CN"/>
        </w:rPr>
        <w:t>）水源地工程</w:t>
      </w:r>
    </w:p>
    <w:p w14:paraId="18266088">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新建集水工程、汇水工程，并对现有水源井进行配套。</w:t>
      </w:r>
    </w:p>
    <w:p w14:paraId="2E0AB548">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w:t>
      </w:r>
      <w:r>
        <w:rPr>
          <w:rFonts w:hint="eastAsia" w:ascii="Times New Roman" w:hAnsi="Times New Roman" w:eastAsia="宋体" w:cs="Times New Roman"/>
          <w:color w:val="auto"/>
          <w:sz w:val="28"/>
          <w:szCs w:val="28"/>
          <w:lang w:val="en-US" w:eastAsia="zh-CN"/>
        </w:rPr>
        <w:t>b</w:t>
      </w:r>
      <w:r>
        <w:rPr>
          <w:rFonts w:hint="default" w:ascii="Times New Roman" w:hAnsi="Times New Roman" w:eastAsia="宋体" w:cs="Times New Roman"/>
          <w:color w:val="auto"/>
          <w:sz w:val="28"/>
          <w:szCs w:val="28"/>
          <w:lang w:val="zh-CN"/>
        </w:rPr>
        <w:t>）泵站工程</w:t>
      </w:r>
    </w:p>
    <w:p w14:paraId="25AB6BB0">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为了保证市区及北石店城镇生活用水，在郭壁村东现有一级泵站西北100m处新建一级泵站及配套设施，并新建一级泵站管道至原有三级泵站；原一、二级泵站更换四台水泵机组，并对原一级泵站和二级泵站的厂房、管床排水沟进行维修；原三级泵站改造扩建为六台水泵机组，对原三级泵站农灌系统出水压力管道拆除重建。</w:t>
      </w:r>
    </w:p>
    <w:p w14:paraId="7A55BF02">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w:t>
      </w:r>
      <w:r>
        <w:rPr>
          <w:rFonts w:hint="eastAsia" w:ascii="Times New Roman" w:hAnsi="Times New Roman" w:eastAsia="宋体" w:cs="Times New Roman"/>
          <w:color w:val="auto"/>
          <w:sz w:val="28"/>
          <w:szCs w:val="28"/>
          <w:lang w:val="en-US" w:eastAsia="zh-CN"/>
        </w:rPr>
        <w:t>c</w:t>
      </w:r>
      <w:r>
        <w:rPr>
          <w:rFonts w:hint="default" w:ascii="Times New Roman" w:hAnsi="Times New Roman" w:eastAsia="宋体" w:cs="Times New Roman"/>
          <w:color w:val="auto"/>
          <w:sz w:val="28"/>
          <w:szCs w:val="28"/>
          <w:lang w:val="zh-CN"/>
        </w:rPr>
        <w:t>）蓄水池工程</w:t>
      </w:r>
    </w:p>
    <w:p w14:paraId="5BB9406C">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为提高市区供水保证率，在东蜀村北山顶上新建2万m</w:t>
      </w:r>
      <w:r>
        <w:rPr>
          <w:rFonts w:hint="default" w:ascii="Times New Roman" w:hAnsi="Times New Roman" w:eastAsia="宋体" w:cs="Times New Roman"/>
          <w:color w:val="auto"/>
          <w:sz w:val="28"/>
          <w:szCs w:val="28"/>
          <w:vertAlign w:val="superscript"/>
          <w:lang w:val="zh-CN"/>
        </w:rPr>
        <w:t>3</w:t>
      </w:r>
      <w:r>
        <w:rPr>
          <w:rFonts w:hint="default" w:ascii="Times New Roman" w:hAnsi="Times New Roman" w:eastAsia="宋体" w:cs="Times New Roman"/>
          <w:color w:val="auto"/>
          <w:sz w:val="28"/>
          <w:szCs w:val="28"/>
          <w:lang w:val="zh-CN"/>
        </w:rPr>
        <w:t>蓄水池。</w:t>
      </w:r>
    </w:p>
    <w:p w14:paraId="7B6AC3E8">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w:t>
      </w:r>
      <w:r>
        <w:rPr>
          <w:rFonts w:hint="eastAsia" w:ascii="Times New Roman" w:hAnsi="Times New Roman" w:eastAsia="宋体" w:cs="Times New Roman"/>
          <w:color w:val="auto"/>
          <w:sz w:val="28"/>
          <w:szCs w:val="28"/>
          <w:lang w:val="en-US" w:eastAsia="zh-CN"/>
        </w:rPr>
        <w:t>d</w:t>
      </w:r>
      <w:r>
        <w:rPr>
          <w:rFonts w:hint="default" w:ascii="Times New Roman" w:hAnsi="Times New Roman" w:eastAsia="宋体" w:cs="Times New Roman"/>
          <w:color w:val="auto"/>
          <w:sz w:val="28"/>
          <w:szCs w:val="28"/>
          <w:lang w:val="zh-CN"/>
        </w:rPr>
        <w:t>）供水管线工程</w:t>
      </w:r>
    </w:p>
    <w:p w14:paraId="75DCFF3E">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新建柳泉分水口至北石店镇水厂的北石店输水支管；改造原有焦庄渠首至晋长高速路旁的输水渠道。</w:t>
      </w:r>
    </w:p>
    <w:p w14:paraId="70FB0F26">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w:t>
      </w:r>
      <w:r>
        <w:rPr>
          <w:rFonts w:hint="eastAsia" w:ascii="Times New Roman" w:hAnsi="Times New Roman" w:eastAsia="宋体" w:cs="Times New Roman"/>
          <w:color w:val="auto"/>
          <w:sz w:val="28"/>
          <w:szCs w:val="28"/>
          <w:lang w:val="en-US" w:eastAsia="zh-CN"/>
        </w:rPr>
        <w:t>e</w:t>
      </w:r>
      <w:r>
        <w:rPr>
          <w:rFonts w:hint="default" w:ascii="Times New Roman" w:hAnsi="Times New Roman" w:eastAsia="宋体" w:cs="Times New Roman"/>
          <w:color w:val="auto"/>
          <w:sz w:val="28"/>
          <w:szCs w:val="28"/>
          <w:lang w:val="zh-CN"/>
        </w:rPr>
        <w:t>）输变电工程</w:t>
      </w:r>
    </w:p>
    <w:p w14:paraId="7E7BFCAA">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zh-CN"/>
        </w:rPr>
      </w:pPr>
      <w:r>
        <w:rPr>
          <w:rFonts w:hint="default" w:ascii="Times New Roman" w:hAnsi="Times New Roman" w:eastAsia="宋体" w:cs="Times New Roman"/>
          <w:color w:val="auto"/>
          <w:sz w:val="28"/>
          <w:szCs w:val="28"/>
          <w:lang w:val="zh-CN"/>
        </w:rPr>
        <w:t>扩建改造原焦庄变电站；新建35kV双回路输电线路，改造10kV输电线路。</w:t>
      </w:r>
    </w:p>
    <w:p w14:paraId="1D3F79C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560" w:firstLineChars="200"/>
        <w:textAlignment w:val="auto"/>
        <w:rPr>
          <w:rFonts w:hint="eastAsia" w:eastAsia="宋体" w:cs="Times New Roman"/>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（5）</w:t>
      </w:r>
      <w:r>
        <w:rPr>
          <w:rFonts w:hint="eastAsia" w:eastAsia="宋体" w:cs="Times New Roman"/>
          <w:color w:val="auto"/>
          <w:sz w:val="28"/>
          <w:szCs w:val="28"/>
          <w:lang w:val="en-US" w:eastAsia="zh-CN"/>
        </w:rPr>
        <w:t>管理范围</w:t>
      </w:r>
    </w:p>
    <w:p w14:paraId="1A8AD489">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highlight w:val="yellow"/>
          <w:lang w:val="en-US" w:eastAsia="zh-CN"/>
        </w:rPr>
      </w:pPr>
      <w:r>
        <w:rPr>
          <w:rFonts w:hint="eastAsia" w:ascii="Times New Roman" w:hAnsi="Times New Roman" w:eastAsia="宋体" w:cs="Times New Roman"/>
          <w:color w:val="auto"/>
          <w:sz w:val="28"/>
          <w:szCs w:val="28"/>
          <w:highlight w:val="none"/>
          <w:lang w:val="en-US" w:eastAsia="zh-CN"/>
        </w:rPr>
        <w:t>郭壁供水及改扩建工程占地主要包括新建一级泵站、改扩建三级泵站、东属蓄水池、管线阀井占地等</w:t>
      </w:r>
      <w:r>
        <w:rPr>
          <w:rFonts w:hint="eastAsia" w:eastAsia="宋体" w:cs="Times New Roman"/>
          <w:color w:val="auto"/>
          <w:sz w:val="28"/>
          <w:szCs w:val="28"/>
          <w:highlight w:val="none"/>
          <w:lang w:val="en-US" w:eastAsia="zh-CN"/>
        </w:rPr>
        <w:t>，管理范围面积0.14km</w:t>
      </w:r>
      <w:r>
        <w:rPr>
          <w:rFonts w:hint="eastAsia" w:eastAsia="宋体" w:cs="Times New Roman"/>
          <w:color w:val="auto"/>
          <w:sz w:val="28"/>
          <w:szCs w:val="28"/>
          <w:highlight w:val="none"/>
          <w:vertAlign w:val="superscript"/>
          <w:lang w:val="en-US" w:eastAsia="zh-CN"/>
        </w:rPr>
        <w:t>2</w:t>
      </w:r>
      <w:r>
        <w:rPr>
          <w:rFonts w:hint="eastAsia" w:eastAsia="宋体" w:cs="Times New Roman"/>
          <w:color w:val="auto"/>
          <w:sz w:val="28"/>
          <w:szCs w:val="28"/>
          <w:highlight w:val="none"/>
          <w:lang w:val="en-US" w:eastAsia="zh-CN"/>
        </w:rPr>
        <w:t>。</w:t>
      </w:r>
    </w:p>
    <w:p w14:paraId="005275EF">
      <w:pPr>
        <w:keepNext w:val="0"/>
        <w:keepLines w:val="0"/>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default" w:ascii="Times New Roman" w:hAnsi="Times New Roman" w:eastAsia="宋体" w:cs="Times New Roman"/>
          <w:b/>
          <w:sz w:val="28"/>
          <w:szCs w:val="28"/>
          <w:lang w:val="en-US" w:eastAsia="zh-CN"/>
        </w:rPr>
      </w:pPr>
      <w:r>
        <w:rPr>
          <w:rFonts w:hint="eastAsia" w:eastAsia="宋体" w:cs="Times New Roman"/>
          <w:b/>
          <w:sz w:val="28"/>
          <w:szCs w:val="28"/>
          <w:lang w:eastAsia="zh-CN"/>
        </w:rPr>
        <w:t>（</w:t>
      </w:r>
      <w:r>
        <w:rPr>
          <w:rFonts w:hint="eastAsia" w:eastAsia="宋体" w:cs="Times New Roman"/>
          <w:b/>
          <w:sz w:val="28"/>
          <w:szCs w:val="28"/>
          <w:lang w:val="en-US" w:eastAsia="zh-CN"/>
        </w:rPr>
        <w:t>2</w:t>
      </w:r>
      <w:r>
        <w:rPr>
          <w:rFonts w:hint="default" w:ascii="Times New Roman" w:hAnsi="Times New Roman" w:eastAsia="宋体" w:cs="Times New Roman"/>
          <w:b/>
          <w:sz w:val="28"/>
          <w:szCs w:val="28"/>
        </w:rPr>
        <w:t>）</w:t>
      </w:r>
      <w:r>
        <w:rPr>
          <w:rFonts w:hint="eastAsia" w:eastAsia="宋体" w:cs="Times New Roman"/>
          <w:b/>
          <w:sz w:val="28"/>
          <w:szCs w:val="28"/>
          <w:lang w:val="en-US" w:eastAsia="zh-CN"/>
        </w:rPr>
        <w:t>泽州县南部供水工程（一期）</w:t>
      </w:r>
    </w:p>
    <w:p w14:paraId="4EC52151">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lang w:val="en-US" w:eastAsia="zh-CN"/>
        </w:rPr>
      </w:pPr>
      <w:r>
        <w:rPr>
          <w:rFonts w:hint="eastAsia" w:ascii="Times New Roman" w:hAnsi="Times New Roman" w:eastAsia="宋体" w:cs="Times New Roman"/>
          <w:color w:val="auto"/>
          <w:sz w:val="28"/>
          <w:szCs w:val="28"/>
          <w:lang w:val="en-US" w:eastAsia="zh-CN"/>
        </w:rPr>
        <w:t>1）工程概况</w:t>
      </w:r>
    </w:p>
    <w:p w14:paraId="6A90B03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泽州县南部供水工程（一期）主要水源为沁河及石河水库，年供水量1276万m³。新建泵站5座，水厂2座，调蓄水池7座，供水管道377km。项目共分为两部分，即主管网及乡镇配水管网。</w:t>
      </w:r>
    </w:p>
    <w:p w14:paraId="1F7BB10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主管网：主管网分为沁河水源段及石河水源段。沁河水源段于沁河拴驴泉水库处取水，工程起点位于沁河河畔的曹河村，由沁河一级泵站，将沁河河水提水至沁河二级泵站；再由沁河二级泵站提水至沁河三级泵站；经沁河三级泵站加压至终端调节水池，终端调节水池自流至南部水处理厂（2万m³/d）；经净水厂处理后管道分为两部分－大箕镇方向管道及南岭镇方向管道。大箕镇方向管道又分为生活输水管道及工业输水管道，其中生活输水管道从净水厂出发，依次重力自流配送至山河镇水池、晋庙铺水池、犁川镇水池及大箕镇水池，而工业输水管道从终端调节水池出发，依次重力自流配送至天水岭水池及大箕镇水池；而南岭镇方向管道从净水厂出发，依次重力自流配送至南岭镇水池及李沟村水池。</w:t>
      </w:r>
    </w:p>
    <w:p w14:paraId="7510B1E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石河水源段为改扩建段，主要为将原管道拆除扩建，线路均沿原线路布设。本段水源为石河水库。管道于石河水库导流洞尾部取水（为东冻泉），取水后经石河一级泵站、石河二级泵站加压后至小口调节水池，经小口净水厂（2000m³/d）净化后沿黑石岭村、拦车村重力自流至晋庙铺镇水池。</w:t>
      </w:r>
    </w:p>
    <w:p w14:paraId="6FF9D7F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乡镇配水管网：乡镇配水管网起点为各乡镇水池，由水池重力自流（局部需加压）至各村水池。配水管网共分为5个片区，分别为犁川镇片区、大箕镇片区、山河镇片区、南岭镇片区和晋庙铺镇片区。</w:t>
      </w:r>
    </w:p>
    <w:p w14:paraId="2BC190A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textAlignment w:val="auto"/>
        <w:rPr>
          <w:rFonts w:hint="default" w:eastAsia="宋体" w:cs="Times New Roman"/>
          <w:color w:val="auto"/>
          <w:sz w:val="28"/>
          <w:szCs w:val="28"/>
          <w:lang w:val="en-US" w:eastAsia="zh-CN"/>
        </w:rPr>
      </w:pPr>
      <w:r>
        <w:rPr>
          <w:rFonts w:hint="eastAsia" w:eastAsia="宋体" w:cs="Times New Roman"/>
          <w:color w:val="auto"/>
          <w:sz w:val="28"/>
          <w:szCs w:val="28"/>
          <w:lang w:val="en-US" w:eastAsia="zh-CN"/>
        </w:rPr>
        <w:t>2）管理范围</w:t>
      </w:r>
    </w:p>
    <w:p w14:paraId="66E6711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default" w:eastAsia="宋体" w:cs="Times New Roman"/>
          <w:color w:val="auto"/>
          <w:sz w:val="28"/>
          <w:szCs w:val="28"/>
          <w:highlight w:val="none"/>
          <w:vertAlign w:val="baseline"/>
          <w:lang w:val="en-US" w:eastAsia="zh-CN"/>
        </w:rPr>
      </w:pPr>
      <w:r>
        <w:rPr>
          <w:rFonts w:hint="eastAsia" w:eastAsia="宋体" w:cs="Times New Roman"/>
          <w:color w:val="auto"/>
          <w:sz w:val="28"/>
          <w:szCs w:val="28"/>
          <w:highlight w:val="none"/>
          <w:lang w:val="en-US" w:eastAsia="zh-CN"/>
        </w:rPr>
        <w:t>泽州县南部供水工程（一期）工程以输水管道、泵站、蓄水池、净水厂、管道沿线井室建设为主要内容，管理范围面积0.13km</w:t>
      </w:r>
      <w:r>
        <w:rPr>
          <w:rFonts w:hint="eastAsia" w:eastAsia="宋体" w:cs="Times New Roman"/>
          <w:color w:val="auto"/>
          <w:sz w:val="28"/>
          <w:szCs w:val="28"/>
          <w:highlight w:val="none"/>
          <w:vertAlign w:val="superscript"/>
          <w:lang w:val="en-US" w:eastAsia="zh-CN"/>
        </w:rPr>
        <w:t>2</w:t>
      </w:r>
      <w:r>
        <w:rPr>
          <w:rFonts w:hint="eastAsia" w:eastAsia="宋体" w:cs="Times New Roman"/>
          <w:color w:val="auto"/>
          <w:sz w:val="28"/>
          <w:szCs w:val="28"/>
          <w:highlight w:val="none"/>
          <w:vertAlign w:val="baseline"/>
          <w:lang w:val="en-US" w:eastAsia="zh-CN"/>
        </w:rPr>
        <w:t>。</w:t>
      </w:r>
    </w:p>
    <w:p w14:paraId="47D74A0C">
      <w:pPr>
        <w:keepNext w:val="0"/>
        <w:keepLines w:val="0"/>
        <w:pageBreakBefore w:val="0"/>
        <w:kinsoku/>
        <w:wordWrap/>
        <w:overflowPunct/>
        <w:topLinePunct w:val="0"/>
        <w:autoSpaceDE/>
        <w:autoSpaceDN/>
        <w:bidi w:val="0"/>
        <w:adjustRightInd w:val="0"/>
        <w:snapToGrid w:val="0"/>
        <w:spacing w:line="360" w:lineRule="auto"/>
        <w:ind w:firstLine="562" w:firstLineChars="200"/>
        <w:jc w:val="left"/>
        <w:textAlignment w:val="auto"/>
        <w:rPr>
          <w:rFonts w:hint="default" w:ascii="Times New Roman" w:hAnsi="Times New Roman" w:eastAsia="宋体" w:cs="Times New Roman"/>
          <w:b/>
          <w:sz w:val="28"/>
          <w:szCs w:val="28"/>
          <w:highlight w:val="none"/>
          <w:lang w:val="en-US" w:eastAsia="zh-CN"/>
        </w:rPr>
      </w:pPr>
      <w:r>
        <w:rPr>
          <w:rFonts w:hint="eastAsia" w:eastAsia="宋体" w:cs="Times New Roman"/>
          <w:b/>
          <w:sz w:val="28"/>
          <w:szCs w:val="28"/>
          <w:highlight w:val="none"/>
          <w:lang w:eastAsia="zh-CN"/>
        </w:rPr>
        <w:t>（</w:t>
      </w:r>
      <w:r>
        <w:rPr>
          <w:rFonts w:hint="eastAsia" w:eastAsia="宋体" w:cs="Times New Roman"/>
          <w:b/>
          <w:sz w:val="28"/>
          <w:szCs w:val="28"/>
          <w:highlight w:val="none"/>
          <w:lang w:val="en-US" w:eastAsia="zh-CN"/>
        </w:rPr>
        <w:t>3</w:t>
      </w:r>
      <w:r>
        <w:rPr>
          <w:rFonts w:hint="default" w:ascii="Times New Roman" w:hAnsi="Times New Roman" w:eastAsia="宋体" w:cs="Times New Roman"/>
          <w:b/>
          <w:sz w:val="28"/>
          <w:szCs w:val="28"/>
          <w:highlight w:val="none"/>
        </w:rPr>
        <w:t>）</w:t>
      </w:r>
      <w:r>
        <w:rPr>
          <w:rFonts w:hint="eastAsia" w:eastAsia="宋体" w:cs="Times New Roman"/>
          <w:b/>
          <w:sz w:val="28"/>
          <w:szCs w:val="28"/>
          <w:highlight w:val="none"/>
          <w:lang w:val="en-US" w:eastAsia="zh-CN"/>
        </w:rPr>
        <w:t>泽州县南部供水工程（二期）</w:t>
      </w:r>
    </w:p>
    <w:p w14:paraId="5323BB42">
      <w:pPr>
        <w:keepNext w:val="0"/>
        <w:keepLines w:val="0"/>
        <w:pageBreakBefore w:val="0"/>
        <w:widowControl w:val="0"/>
        <w:kinsoku/>
        <w:wordWrap/>
        <w:overflowPunct/>
        <w:topLinePunct w:val="0"/>
        <w:autoSpaceDE w:val="0"/>
        <w:autoSpaceDN w:val="0"/>
        <w:bidi w:val="0"/>
        <w:adjustRightInd w:val="0"/>
        <w:snapToGrid w:val="0"/>
        <w:spacing w:line="360" w:lineRule="auto"/>
        <w:ind w:firstLine="561"/>
        <w:textAlignment w:val="auto"/>
        <w:rPr>
          <w:rFonts w:hint="default" w:ascii="Times New Roman" w:hAnsi="Times New Roman" w:eastAsia="宋体" w:cs="Times New Roman"/>
          <w:color w:val="auto"/>
          <w:sz w:val="28"/>
          <w:szCs w:val="28"/>
          <w:highlight w:val="yellow"/>
          <w:lang w:val="en-US" w:eastAsia="zh-CN"/>
        </w:rPr>
      </w:pPr>
      <w:r>
        <w:rPr>
          <w:rFonts w:hint="eastAsia" w:ascii="Times New Roman" w:hAnsi="Times New Roman" w:eastAsia="宋体" w:cs="Times New Roman"/>
          <w:color w:val="auto"/>
          <w:sz w:val="28"/>
          <w:szCs w:val="28"/>
          <w:highlight w:val="none"/>
          <w:lang w:val="en-US" w:eastAsia="zh-CN"/>
        </w:rPr>
        <w:t>1）工程概况</w:t>
      </w:r>
    </w:p>
    <w:p w14:paraId="4B4EBB7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工程主要水源为沁河及石河水库，年供水量1276万m³。新建泵站5座，水厂2座，调蓄水池6座，供水管道341km。项目共分为两部分，即输水管网及乡镇配水管网。</w:t>
      </w:r>
    </w:p>
    <w:p w14:paraId="43E21D2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输水管网：泽州县南部水网工程根据取水水源分为沁河水源片区及石河水源片区。</w:t>
      </w:r>
    </w:p>
    <w:p w14:paraId="7C181E6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沁河水源片区从沁河河道取水，通过三级泵站提水至土河调节水池，经土河净水厂净化后，分为南岭方向及大箕(晋庙铺)方向进行输水，其中南岭方向输水至南岭镇水池及李寨水池；大箕(晋庙铺)方向输水至山河镇水池、横道头分水口：（1）一趟自横道头分水口到犁川镇水池、大箕镇水池。（2）另一趟自横道头分水口到晋庙铺水池。工业输水管道起点为土河调节水池，经山河镇至横道头分水口：（1）一趟自横道头分水口经犁川镇至大箕镇分水阀门井。（2）另一趟自横道头分水口到天水岭水池。</w:t>
      </w:r>
    </w:p>
    <w:p w14:paraId="547BAE1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石河水源片区从石河水库取水，通过两级泵站提水至小口村水池，经小口净水厂净化后输水至晋庙铺水池。</w:t>
      </w:r>
    </w:p>
    <w:p w14:paraId="20EA5B2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乡镇配水管网：乡镇配水管网起点为各乡镇水池，由水池重力自流（局部需加压）至各村水池。配水管网共分为5个片区，分别为犁川镇片区、大箕镇片区、山河镇片区、南岭镇片区和晋庙铺镇片区。</w:t>
      </w:r>
    </w:p>
    <w:p w14:paraId="6962184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2）管理范围</w:t>
      </w:r>
    </w:p>
    <w:p w14:paraId="5E533B6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60" w:firstLineChars="200"/>
        <w:textAlignment w:val="auto"/>
        <w:rPr>
          <w:rFonts w:hint="eastAsia" w:eastAsia="宋体" w:cs="Times New Roman"/>
          <w:color w:val="auto"/>
          <w:sz w:val="28"/>
          <w:szCs w:val="28"/>
          <w:lang w:val="en-US" w:eastAsia="zh-CN"/>
        </w:rPr>
      </w:pPr>
      <w:r>
        <w:rPr>
          <w:rFonts w:hint="eastAsia" w:eastAsia="宋体" w:cs="Times New Roman"/>
          <w:color w:val="auto"/>
          <w:sz w:val="28"/>
          <w:szCs w:val="28"/>
          <w:lang w:val="en-US" w:eastAsia="zh-CN"/>
        </w:rPr>
        <w:t>泽州县南部供水工程（二期）工程以输水管道、泵站、蓄水池、净水厂、管道沿线井室建设为主要内容，管理范围面积0.215km</w:t>
      </w:r>
      <w:r>
        <w:rPr>
          <w:rFonts w:hint="eastAsia" w:eastAsia="宋体" w:cs="Times New Roman"/>
          <w:color w:val="auto"/>
          <w:sz w:val="28"/>
          <w:szCs w:val="28"/>
          <w:vertAlign w:val="superscript"/>
          <w:lang w:val="en-US" w:eastAsia="zh-CN"/>
        </w:rPr>
        <w:t>2</w:t>
      </w:r>
      <w:r>
        <w:rPr>
          <w:rFonts w:hint="eastAsia" w:eastAsia="宋体" w:cs="Times New Roman"/>
          <w:color w:val="auto"/>
          <w:sz w:val="28"/>
          <w:szCs w:val="28"/>
          <w:lang w:val="en-US" w:eastAsia="zh-CN"/>
        </w:rPr>
        <w:t xml:space="preserve">。  </w:t>
      </w:r>
    </w:p>
    <w:bookmarkEnd w:id="104"/>
    <w:bookmarkEnd w:id="105"/>
    <w:p w14:paraId="6126EBB5">
      <w:r>
        <w:br w:type="page"/>
      </w:r>
    </w:p>
    <w:p w14:paraId="7101573E">
      <w:pPr>
        <w:pStyle w:val="4"/>
      </w:pPr>
      <w:bookmarkStart w:id="108" w:name="_Toc36060113"/>
      <w:bookmarkStart w:id="109" w:name="_Toc27719"/>
      <w:r>
        <w:rPr>
          <w:rFonts w:hint="eastAsia"/>
          <w:lang w:val="en-US" w:eastAsia="zh-CN"/>
        </w:rPr>
        <w:t>7</w:t>
      </w:r>
      <w:r>
        <w:t>规划水利基础设施空间用地预留</w:t>
      </w:r>
      <w:bookmarkEnd w:id="108"/>
      <w:bookmarkEnd w:id="109"/>
    </w:p>
    <w:p w14:paraId="5C209B2E">
      <w:pPr>
        <w:pStyle w:val="5"/>
      </w:pPr>
      <w:bookmarkStart w:id="110" w:name="_Toc36060114"/>
      <w:bookmarkStart w:id="111" w:name="_Toc15723"/>
      <w:bookmarkStart w:id="112" w:name="_Toc20229473"/>
      <w:bookmarkStart w:id="113" w:name="_Toc18179"/>
      <w:bookmarkStart w:id="114" w:name="_Toc18595502"/>
      <w:bookmarkStart w:id="115" w:name="_Toc22108742"/>
      <w:bookmarkStart w:id="116" w:name="_Toc5525"/>
      <w:r>
        <w:rPr>
          <w:rFonts w:hint="eastAsia"/>
          <w:lang w:val="en-US" w:eastAsia="zh-CN"/>
        </w:rPr>
        <w:t>7.1</w:t>
      </w:r>
      <w:r>
        <w:t>规划水利基础设施建设原则与要求</w:t>
      </w:r>
      <w:bookmarkEnd w:id="110"/>
      <w:bookmarkEnd w:id="111"/>
      <w:bookmarkEnd w:id="112"/>
      <w:bookmarkEnd w:id="113"/>
      <w:bookmarkEnd w:id="114"/>
      <w:bookmarkEnd w:id="115"/>
      <w:bookmarkEnd w:id="116"/>
    </w:p>
    <w:p w14:paraId="55A17D2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val="en-US" w:eastAsia="zh-CN"/>
        </w:rPr>
      </w:pPr>
      <w:bookmarkStart w:id="117" w:name="_Toc36060115"/>
      <w:r>
        <w:rPr>
          <w:rFonts w:hint="eastAsia" w:ascii="Times New Roman" w:hAnsi="Times New Roman" w:eastAsia="宋体" w:cs="Times New Roman"/>
          <w:sz w:val="28"/>
          <w:szCs w:val="28"/>
          <w:lang w:val="en-US" w:eastAsia="zh-CN"/>
        </w:rPr>
        <w:t>以省、市、</w:t>
      </w:r>
      <w:r>
        <w:rPr>
          <w:rFonts w:hint="eastAsia" w:eastAsia="宋体" w:cs="Times New Roman"/>
          <w:sz w:val="28"/>
          <w:szCs w:val="28"/>
          <w:lang w:val="en-US" w:eastAsia="zh-CN"/>
        </w:rPr>
        <w:t>县</w:t>
      </w:r>
      <w:r>
        <w:rPr>
          <w:rFonts w:hint="eastAsia" w:ascii="Times New Roman" w:hAnsi="Times New Roman" w:eastAsia="宋体" w:cs="Times New Roman"/>
          <w:sz w:val="28"/>
          <w:szCs w:val="28"/>
          <w:lang w:val="en-US" w:eastAsia="zh-CN"/>
        </w:rPr>
        <w:t>发展规划、区域发展战略和流域综合规划、防洪（排涝）规划、水资源综合规划、水利发展</w:t>
      </w:r>
      <w:r>
        <w:rPr>
          <w:rFonts w:hint="eastAsia" w:eastAsia="宋体" w:cs="Times New Roman"/>
          <w:sz w:val="28"/>
          <w:szCs w:val="28"/>
          <w:lang w:val="en-US" w:eastAsia="zh-CN"/>
        </w:rPr>
        <w:t>“</w:t>
      </w:r>
      <w:r>
        <w:rPr>
          <w:rFonts w:hint="eastAsia" w:ascii="Times New Roman" w:hAnsi="Times New Roman" w:eastAsia="宋体" w:cs="Times New Roman"/>
          <w:sz w:val="28"/>
          <w:szCs w:val="28"/>
          <w:lang w:val="en-US" w:eastAsia="zh-CN"/>
        </w:rPr>
        <w:t>十四五</w:t>
      </w:r>
      <w:r>
        <w:rPr>
          <w:rFonts w:hint="eastAsia" w:eastAsia="宋体" w:cs="Times New Roman"/>
          <w:sz w:val="28"/>
          <w:szCs w:val="28"/>
          <w:lang w:val="en-US" w:eastAsia="zh-CN"/>
        </w:rPr>
        <w:t>”</w:t>
      </w:r>
      <w:r>
        <w:rPr>
          <w:rFonts w:hint="eastAsia" w:ascii="Times New Roman" w:hAnsi="Times New Roman" w:eastAsia="宋体" w:cs="Times New Roman"/>
          <w:sz w:val="28"/>
          <w:szCs w:val="28"/>
          <w:lang w:val="en-US" w:eastAsia="zh-CN"/>
        </w:rPr>
        <w:t xml:space="preserve">规划、中长期供求规划、供水规划等规划确定的水利基础设施空间布局为基础，根据经济社会发展和生态保护新形势新要求，以水资源承载能力为刚性约束，在与生态保护红线成果进行协调性分析的前提下， </w:t>
      </w:r>
      <w:r>
        <w:rPr>
          <w:rFonts w:hint="eastAsia" w:eastAsia="宋体" w:cs="Times New Roman"/>
          <w:sz w:val="28"/>
          <w:szCs w:val="28"/>
          <w:lang w:val="en-US" w:eastAsia="zh-CN"/>
        </w:rPr>
        <w:t>泽州县</w:t>
      </w:r>
      <w:r>
        <w:rPr>
          <w:rFonts w:hint="eastAsia" w:ascii="Times New Roman" w:hAnsi="Times New Roman" w:eastAsia="宋体" w:cs="Times New Roman"/>
          <w:sz w:val="28"/>
          <w:szCs w:val="28"/>
          <w:lang w:val="en-US" w:eastAsia="zh-CN"/>
        </w:rPr>
        <w:t>按照“确有需要、可以持续、生态安全”的原则，以水库、闸坝等工程为节点， 以河湖治理、供水工程（引调水）、江河湖库水系连通等工程为线，以灌区等工程为面，着力构建防洪保安全、优质水资源、健康水生态的水利设施空间格局。</w:t>
      </w:r>
    </w:p>
    <w:p w14:paraId="5A808B85">
      <w:pPr>
        <w:pStyle w:val="6"/>
        <w:rPr>
          <w:highlight w:val="none"/>
        </w:rPr>
      </w:pPr>
      <w:r>
        <w:rPr>
          <w:rFonts w:hint="eastAsia"/>
          <w:highlight w:val="none"/>
          <w:lang w:val="en-US" w:eastAsia="zh-CN"/>
        </w:rPr>
        <w:t>7.1.1</w:t>
      </w:r>
      <w:r>
        <w:rPr>
          <w:highlight w:val="none"/>
        </w:rPr>
        <w:t>规划防洪（潮）治涝设施建设原则与要求</w:t>
      </w:r>
      <w:bookmarkEnd w:id="117"/>
    </w:p>
    <w:p w14:paraId="78255B0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bookmarkStart w:id="118" w:name="_Toc16651"/>
      <w:r>
        <w:rPr>
          <w:rFonts w:ascii="Times New Roman" w:hAnsi="Times New Roman" w:eastAsia="宋体" w:cs="Times New Roman"/>
          <w:sz w:val="28"/>
          <w:szCs w:val="28"/>
        </w:rPr>
        <w:t>以流域综合规划、排水防涝规划等为基础，在对现状防洪治涝体系进行评价的基础上，统筹防洪排涝规划工程布局，协调防洪、供水、生态等要求，以构建完善流域和区域防洪减灾体系为重点，提出控制性枢纽、堤防、河湖治理、 涝区治理等防洪治涝工程布局方案。以</w:t>
      </w:r>
      <w:r>
        <w:rPr>
          <w:rFonts w:hint="eastAsia" w:eastAsia="宋体" w:cs="Times New Roman"/>
          <w:sz w:val="28"/>
          <w:szCs w:val="28"/>
          <w:lang w:eastAsia="zh-CN"/>
        </w:rPr>
        <w:t>“</w:t>
      </w:r>
      <w:r>
        <w:rPr>
          <w:rFonts w:ascii="Times New Roman" w:hAnsi="Times New Roman" w:eastAsia="宋体" w:cs="Times New Roman"/>
          <w:sz w:val="28"/>
          <w:szCs w:val="28"/>
        </w:rPr>
        <w:t>五水综改</w:t>
      </w:r>
      <w:r>
        <w:rPr>
          <w:rFonts w:hint="eastAsia" w:eastAsia="宋体" w:cs="Times New Roman"/>
          <w:sz w:val="28"/>
          <w:szCs w:val="28"/>
          <w:lang w:eastAsia="zh-CN"/>
        </w:rPr>
        <w:t>”</w:t>
      </w:r>
      <w:r>
        <w:rPr>
          <w:rFonts w:ascii="Times New Roman" w:hAnsi="Times New Roman" w:eastAsia="宋体" w:cs="Times New Roman"/>
          <w:sz w:val="28"/>
          <w:szCs w:val="28"/>
        </w:rPr>
        <w:t>统揽</w:t>
      </w:r>
      <w:r>
        <w:rPr>
          <w:rFonts w:hint="eastAsia" w:eastAsia="宋体" w:cs="Times New Roman"/>
          <w:sz w:val="28"/>
          <w:szCs w:val="28"/>
          <w:lang w:val="en-US" w:eastAsia="zh-CN"/>
        </w:rPr>
        <w:t>泽州县</w:t>
      </w:r>
      <w:r>
        <w:rPr>
          <w:rFonts w:hint="eastAsia" w:eastAsia="宋体" w:cs="Times New Roman"/>
          <w:sz w:val="28"/>
          <w:szCs w:val="28"/>
          <w:lang w:eastAsia="zh-CN"/>
        </w:rPr>
        <w:t>“</w:t>
      </w:r>
      <w:r>
        <w:rPr>
          <w:rFonts w:ascii="Times New Roman" w:hAnsi="Times New Roman" w:eastAsia="宋体" w:cs="Times New Roman"/>
          <w:sz w:val="28"/>
          <w:szCs w:val="28"/>
        </w:rPr>
        <w:t>十四五</w:t>
      </w:r>
      <w:r>
        <w:rPr>
          <w:rFonts w:hint="eastAsia" w:eastAsia="宋体" w:cs="Times New Roman"/>
          <w:sz w:val="28"/>
          <w:szCs w:val="28"/>
          <w:lang w:eastAsia="zh-CN"/>
        </w:rPr>
        <w:t>”</w:t>
      </w:r>
      <w:r>
        <w:rPr>
          <w:rFonts w:ascii="Times New Roman" w:hAnsi="Times New Roman" w:eastAsia="宋体" w:cs="Times New Roman"/>
          <w:sz w:val="28"/>
          <w:szCs w:val="28"/>
        </w:rPr>
        <w:t>水利改革发展，在防洪治涝设施建设中，进一步完善黄河干流、中小河流、重点山洪沟道防洪工程建设。</w:t>
      </w:r>
    </w:p>
    <w:bookmarkEnd w:id="118"/>
    <w:p w14:paraId="403440A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bookmarkStart w:id="119" w:name="_Toc1516"/>
      <w:bookmarkStart w:id="120" w:name="_Toc483"/>
      <w:bookmarkStart w:id="121" w:name="_Toc30313"/>
      <w:bookmarkStart w:id="122" w:name="_Toc16816"/>
      <w:r>
        <w:rPr>
          <w:rFonts w:hint="eastAsia" w:eastAsia="宋体" w:cs="Times New Roman"/>
          <w:sz w:val="28"/>
          <w:szCs w:val="28"/>
          <w:lang w:val="en-US" w:eastAsia="zh-CN"/>
        </w:rPr>
        <w:t>（1）泽州县</w:t>
      </w:r>
      <w:r>
        <w:rPr>
          <w:rFonts w:ascii="Times New Roman" w:hAnsi="Times New Roman" w:eastAsia="宋体" w:cs="Times New Roman"/>
          <w:sz w:val="28"/>
          <w:szCs w:val="28"/>
        </w:rPr>
        <w:t>主要河流、中小河流治理</w:t>
      </w:r>
      <w:bookmarkEnd w:id="119"/>
      <w:bookmarkEnd w:id="120"/>
      <w:bookmarkEnd w:id="121"/>
      <w:bookmarkEnd w:id="122"/>
    </w:p>
    <w:p w14:paraId="360BFE0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eastAsia="zh-CN"/>
        </w:rPr>
      </w:pPr>
      <w:r>
        <w:rPr>
          <w:rFonts w:ascii="Times New Roman" w:hAnsi="Times New Roman" w:eastAsia="宋体" w:cs="Times New Roman"/>
          <w:sz w:val="28"/>
          <w:szCs w:val="28"/>
        </w:rPr>
        <w:t>加快推进列入《加快灾后水利薄弱环节建设实施方案》的中小河流治理项目，确保项目全部如期完成。对承担县城防洪、乡镇防洪或农田防护任务的中小河流河段开展治理，县城以上城镇防洪标准不低于20</w:t>
      </w:r>
      <w:r>
        <w:rPr>
          <w:rFonts w:hint="eastAsia" w:ascii="Times New Roman" w:hAnsi="Times New Roman" w:eastAsia="宋体" w:cs="Times New Roman"/>
          <w:sz w:val="28"/>
          <w:szCs w:val="28"/>
          <w:lang w:val="en-US" w:eastAsia="zh-CN"/>
        </w:rPr>
        <w:t>~50</w:t>
      </w:r>
      <w:r>
        <w:rPr>
          <w:rFonts w:ascii="Times New Roman" w:hAnsi="Times New Roman" w:eastAsia="宋体" w:cs="Times New Roman"/>
          <w:sz w:val="28"/>
          <w:szCs w:val="28"/>
        </w:rPr>
        <w:t>年一遇，乡镇防洪标准为10～20年一遇，农田防护、其他等为10年一遇。推进中小河流治理防洪体系建设</w:t>
      </w:r>
      <w:bookmarkStart w:id="123" w:name="_Toc16042"/>
      <w:bookmarkStart w:id="124" w:name="_Toc27695"/>
      <w:bookmarkStart w:id="125" w:name="_Toc17838"/>
      <w:bookmarkStart w:id="126" w:name="_Toc13048"/>
      <w:r>
        <w:rPr>
          <w:rFonts w:hint="eastAsia" w:eastAsia="宋体" w:cs="Times New Roman"/>
          <w:sz w:val="28"/>
          <w:szCs w:val="28"/>
          <w:lang w:eastAsia="zh-CN"/>
        </w:rPr>
        <w:t>。</w:t>
      </w:r>
    </w:p>
    <w:p w14:paraId="2CD97AF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w:t>
      </w:r>
      <w:r>
        <w:rPr>
          <w:rFonts w:hint="eastAsia" w:eastAsia="宋体" w:cs="Times New Roman"/>
          <w:sz w:val="28"/>
          <w:szCs w:val="28"/>
          <w:lang w:val="en-US" w:eastAsia="zh-CN"/>
        </w:rPr>
        <w:t>2</w:t>
      </w:r>
      <w:r>
        <w:rPr>
          <w:rFonts w:ascii="Times New Roman" w:hAnsi="Times New Roman" w:eastAsia="宋体" w:cs="Times New Roman"/>
          <w:sz w:val="28"/>
          <w:szCs w:val="28"/>
        </w:rPr>
        <w:t>）病险水库（水闸）除险加固建设</w:t>
      </w:r>
      <w:bookmarkEnd w:id="123"/>
      <w:bookmarkEnd w:id="124"/>
      <w:bookmarkEnd w:id="125"/>
      <w:bookmarkEnd w:id="126"/>
    </w:p>
    <w:p w14:paraId="64B0FB3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对已鉴定为</w:t>
      </w:r>
      <w:r>
        <w:rPr>
          <w:rFonts w:hint="eastAsia" w:eastAsia="宋体" w:cs="Times New Roman"/>
          <w:sz w:val="28"/>
          <w:szCs w:val="28"/>
          <w:lang w:eastAsia="zh-CN"/>
        </w:rPr>
        <w:t>“</w:t>
      </w:r>
      <w:r>
        <w:rPr>
          <w:rFonts w:ascii="Times New Roman" w:hAnsi="Times New Roman" w:eastAsia="宋体" w:cs="Times New Roman"/>
          <w:sz w:val="28"/>
          <w:szCs w:val="28"/>
        </w:rPr>
        <w:t>三类坝</w:t>
      </w:r>
      <w:r>
        <w:rPr>
          <w:rFonts w:hint="eastAsia" w:eastAsia="宋体" w:cs="Times New Roman"/>
          <w:sz w:val="28"/>
          <w:szCs w:val="28"/>
          <w:lang w:eastAsia="zh-CN"/>
        </w:rPr>
        <w:t>”</w:t>
      </w:r>
      <w:r>
        <w:rPr>
          <w:rFonts w:ascii="Times New Roman" w:hAnsi="Times New Roman" w:eastAsia="宋体" w:cs="Times New Roman"/>
          <w:sz w:val="28"/>
          <w:szCs w:val="28"/>
        </w:rPr>
        <w:t>的病险水库进行除险加固。继续开展水库大坝安全鉴定审定核查工作。对蓄水和综合效益发挥情况较好的水库进行清淤，提高水库防洪能力和兴利效益。</w:t>
      </w:r>
    </w:p>
    <w:p w14:paraId="2DEC94B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eastAsia="zh-CN"/>
        </w:rPr>
        <w:t>对泽州县</w:t>
      </w:r>
      <w:r>
        <w:rPr>
          <w:rFonts w:hint="eastAsia" w:ascii="Times New Roman" w:hAnsi="Times New Roman" w:eastAsia="宋体" w:cs="Times New Roman"/>
          <w:sz w:val="28"/>
          <w:szCs w:val="28"/>
        </w:rPr>
        <w:t>长河</w:t>
      </w:r>
      <w:r>
        <w:rPr>
          <w:rFonts w:hint="eastAsia" w:ascii="Times New Roman" w:hAnsi="Times New Roman" w:eastAsia="宋体" w:cs="Times New Roman"/>
          <w:sz w:val="28"/>
          <w:szCs w:val="28"/>
          <w:lang w:eastAsia="zh-CN"/>
        </w:rPr>
        <w:t>水库</w:t>
      </w:r>
      <w:r>
        <w:rPr>
          <w:rFonts w:hint="eastAsia" w:ascii="Times New Roman" w:hAnsi="Times New Roman" w:eastAsia="宋体" w:cs="Times New Roman"/>
          <w:sz w:val="28"/>
          <w:szCs w:val="28"/>
        </w:rPr>
        <w:t>、白水河</w:t>
      </w:r>
      <w:r>
        <w:rPr>
          <w:rFonts w:hint="eastAsia" w:ascii="Times New Roman" w:hAnsi="Times New Roman" w:eastAsia="宋体" w:cs="Times New Roman"/>
          <w:sz w:val="28"/>
          <w:szCs w:val="28"/>
          <w:lang w:eastAsia="zh-CN"/>
        </w:rPr>
        <w:t>水库</w:t>
      </w:r>
      <w:r>
        <w:rPr>
          <w:rFonts w:hint="eastAsia" w:ascii="Times New Roman" w:hAnsi="Times New Roman" w:eastAsia="宋体" w:cs="Times New Roman"/>
          <w:sz w:val="28"/>
          <w:szCs w:val="28"/>
        </w:rPr>
        <w:t>、彭沟</w:t>
      </w:r>
      <w:r>
        <w:rPr>
          <w:rFonts w:hint="eastAsia" w:ascii="Times New Roman" w:hAnsi="Times New Roman" w:eastAsia="宋体" w:cs="Times New Roman"/>
          <w:sz w:val="28"/>
          <w:szCs w:val="28"/>
          <w:lang w:eastAsia="zh-CN"/>
        </w:rPr>
        <w:t>水库</w:t>
      </w:r>
      <w:r>
        <w:rPr>
          <w:rFonts w:hint="eastAsia" w:ascii="Times New Roman" w:hAnsi="Times New Roman" w:eastAsia="宋体" w:cs="Times New Roman"/>
          <w:sz w:val="28"/>
          <w:szCs w:val="28"/>
        </w:rPr>
        <w:t>、庾能</w:t>
      </w:r>
      <w:r>
        <w:rPr>
          <w:rFonts w:hint="eastAsia" w:ascii="Times New Roman" w:hAnsi="Times New Roman" w:eastAsia="宋体" w:cs="Times New Roman"/>
          <w:sz w:val="28"/>
          <w:szCs w:val="28"/>
          <w:lang w:eastAsia="zh-CN"/>
        </w:rPr>
        <w:t>水库</w:t>
      </w:r>
      <w:r>
        <w:rPr>
          <w:rFonts w:hint="eastAsia" w:eastAsia="宋体" w:cs="Times New Roman"/>
          <w:sz w:val="28"/>
          <w:szCs w:val="28"/>
          <w:lang w:val="en-US" w:eastAsia="zh-CN"/>
        </w:rPr>
        <w:t>4</w:t>
      </w:r>
      <w:r>
        <w:rPr>
          <w:rFonts w:hint="eastAsia" w:ascii="Times New Roman" w:hAnsi="Times New Roman" w:eastAsia="宋体" w:cs="Times New Roman"/>
          <w:sz w:val="28"/>
          <w:szCs w:val="28"/>
          <w:lang w:val="en-US" w:eastAsia="zh-CN"/>
        </w:rPr>
        <w:t>座水库</w:t>
      </w:r>
      <w:r>
        <w:rPr>
          <w:rFonts w:hint="eastAsia" w:ascii="Times New Roman" w:hAnsi="Times New Roman" w:eastAsia="宋体" w:cs="Times New Roman"/>
          <w:sz w:val="28"/>
          <w:szCs w:val="28"/>
          <w:lang w:eastAsia="zh-CN"/>
        </w:rPr>
        <w:t>进行除险加固</w:t>
      </w:r>
      <w:r>
        <w:rPr>
          <w:rFonts w:hint="eastAsia" w:ascii="Times New Roman" w:hAnsi="Times New Roman" w:eastAsia="宋体" w:cs="Times New Roman"/>
          <w:sz w:val="28"/>
          <w:szCs w:val="28"/>
          <w:lang w:val="en-US" w:eastAsia="zh-CN"/>
        </w:rPr>
        <w:t>。</w:t>
      </w:r>
    </w:p>
    <w:p w14:paraId="4EC345C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bookmarkStart w:id="127" w:name="_Toc7319"/>
      <w:bookmarkStart w:id="128" w:name="_Toc1251"/>
      <w:bookmarkStart w:id="129" w:name="_Toc10216"/>
      <w:bookmarkStart w:id="130" w:name="_Toc18630"/>
      <w:r>
        <w:rPr>
          <w:rFonts w:ascii="Times New Roman" w:hAnsi="Times New Roman" w:eastAsia="宋体" w:cs="Times New Roman"/>
          <w:sz w:val="28"/>
          <w:szCs w:val="28"/>
        </w:rPr>
        <w:t>（</w:t>
      </w:r>
      <w:r>
        <w:rPr>
          <w:rFonts w:hint="eastAsia" w:eastAsia="宋体" w:cs="Times New Roman"/>
          <w:sz w:val="28"/>
          <w:szCs w:val="28"/>
          <w:lang w:val="en-US" w:eastAsia="zh-CN"/>
        </w:rPr>
        <w:t>3</w:t>
      </w:r>
      <w:r>
        <w:rPr>
          <w:rFonts w:ascii="Times New Roman" w:hAnsi="Times New Roman" w:eastAsia="宋体" w:cs="Times New Roman"/>
          <w:sz w:val="28"/>
          <w:szCs w:val="28"/>
        </w:rPr>
        <w:t>）水旱灾害防御旱情监测预警综合平台建设</w:t>
      </w:r>
      <w:bookmarkEnd w:id="127"/>
      <w:bookmarkEnd w:id="128"/>
      <w:bookmarkEnd w:id="129"/>
      <w:bookmarkEnd w:id="130"/>
    </w:p>
    <w:p w14:paraId="2903B3B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以旱情监测预警系统和土壤墒情自动监测站建设为重点，依托</w:t>
      </w:r>
      <w:r>
        <w:rPr>
          <w:rFonts w:hint="eastAsia" w:eastAsia="宋体" w:cs="Times New Roman"/>
          <w:sz w:val="28"/>
          <w:szCs w:val="28"/>
          <w:lang w:val="en-US" w:eastAsia="zh-CN"/>
        </w:rPr>
        <w:t>县</w:t>
      </w:r>
      <w:r>
        <w:rPr>
          <w:rFonts w:ascii="Times New Roman" w:hAnsi="Times New Roman" w:eastAsia="宋体" w:cs="Times New Roman"/>
          <w:sz w:val="28"/>
          <w:szCs w:val="28"/>
        </w:rPr>
        <w:t>级政务云平台，建设</w:t>
      </w:r>
      <w:r>
        <w:rPr>
          <w:rFonts w:hint="eastAsia" w:eastAsia="宋体" w:cs="Times New Roman"/>
          <w:sz w:val="28"/>
          <w:szCs w:val="28"/>
          <w:lang w:val="en-US" w:eastAsia="zh-CN"/>
        </w:rPr>
        <w:t>泽州县</w:t>
      </w:r>
      <w:r>
        <w:rPr>
          <w:rFonts w:ascii="Times New Roman" w:hAnsi="Times New Roman" w:eastAsia="宋体" w:cs="Times New Roman"/>
          <w:sz w:val="28"/>
          <w:szCs w:val="28"/>
        </w:rPr>
        <w:t>旱情监测预警综合平台，全面提升</w:t>
      </w:r>
      <w:r>
        <w:rPr>
          <w:rFonts w:hint="eastAsia" w:eastAsia="宋体" w:cs="Times New Roman"/>
          <w:sz w:val="28"/>
          <w:szCs w:val="28"/>
          <w:lang w:val="en-US" w:eastAsia="zh-CN"/>
        </w:rPr>
        <w:t>泽州县</w:t>
      </w:r>
      <w:r>
        <w:rPr>
          <w:rFonts w:ascii="Times New Roman" w:hAnsi="Times New Roman" w:eastAsia="宋体" w:cs="Times New Roman"/>
          <w:sz w:val="28"/>
          <w:szCs w:val="28"/>
        </w:rPr>
        <w:t>旱情监测预警能力。</w:t>
      </w:r>
    </w:p>
    <w:p w14:paraId="5CFC9540">
      <w:pPr>
        <w:pStyle w:val="6"/>
      </w:pPr>
      <w:bookmarkStart w:id="131" w:name="_Toc36060116"/>
      <w:r>
        <w:rPr>
          <w:rFonts w:hint="eastAsia"/>
          <w:lang w:val="en-US" w:eastAsia="zh-CN"/>
        </w:rPr>
        <w:t>7.1.2</w:t>
      </w:r>
      <w:r>
        <w:t>规划水资源配置设施建设原则与要求</w:t>
      </w:r>
      <w:bookmarkEnd w:id="131"/>
    </w:p>
    <w:p w14:paraId="4BE396DA">
      <w:pPr>
        <w:pStyle w:val="62"/>
        <w:spacing w:line="360" w:lineRule="auto"/>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以流域综合规划、水资源综合规划和用水总量控制要求、水量分配方案等为基础，结合供水一体化水资源保障工程等国家重大战略实施、城乡供水安全和生态环境保护需求，以及流域（区域）水资源条件、承载状况及变化趋势等，复核并提出重点水资源配置工程布局方案。</w:t>
      </w:r>
    </w:p>
    <w:p w14:paraId="0AC69A82">
      <w:pPr>
        <w:pStyle w:val="62"/>
        <w:spacing w:line="360" w:lineRule="auto"/>
        <w:ind w:firstLine="56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为克服煤矿采空区对水资源的影响，从过度依赖分散型小泉小水向集中供水迈进</w:t>
      </w:r>
      <w:r>
        <w:rPr>
          <w:rFonts w:hint="default" w:ascii="Times New Roman" w:hAnsi="Times New Roman" w:eastAsia="宋体" w:cs="Times New Roman"/>
          <w:color w:val="auto"/>
          <w:szCs w:val="28"/>
          <w:lang w:eastAsia="zh-CN"/>
        </w:rPr>
        <w:t>。</w:t>
      </w:r>
      <w:r>
        <w:rPr>
          <w:rFonts w:hint="default" w:ascii="Times New Roman" w:hAnsi="Times New Roman" w:eastAsia="宋体" w:cs="Times New Roman"/>
          <w:color w:val="auto"/>
          <w:szCs w:val="28"/>
        </w:rPr>
        <w:t>牢固树立人口经济与资源环境相均衡的原则，坚持以水定城、以水定地、以水定人、以水定产，进一步优化水资源开发利用和水利基础设施的配置格局，促进区域经济社会发展与当地水资源、水环境、水生态承载力相协调。</w:t>
      </w:r>
    </w:p>
    <w:p w14:paraId="5900011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cs="Times New Roman"/>
        </w:rPr>
      </w:pPr>
      <w:r>
        <w:rPr>
          <w:rFonts w:hint="eastAsia" w:eastAsia="宋体" w:cs="Times New Roman"/>
          <w:sz w:val="28"/>
          <w:szCs w:val="28"/>
          <w:lang w:val="en-US" w:eastAsia="zh-CN"/>
        </w:rPr>
        <w:t>南部依托石河水库及盐厂泉，主要覆盖晋庙铺镇、山河镇、南岭镇、犁川镇、大箕镇5个镇；西部依托下河泉水源覆盖川底镇和周村镇；中北部以张峰水源为依托，覆盖大东沟镇、下村镇、大阳镇、巴公镇、北义城镇、高都镇；东部依托玛琅水源为依托，为柳树口镇提供水源。各片区</w:t>
      </w:r>
      <w:r>
        <w:rPr>
          <w:rFonts w:hint="default" w:ascii="Times New Roman" w:hAnsi="Times New Roman" w:eastAsia="宋体" w:cs="Times New Roman"/>
          <w:sz w:val="28"/>
          <w:szCs w:val="28"/>
          <w:lang w:val="en-US" w:eastAsia="zh-CN"/>
        </w:rPr>
        <w:t>最终形成</w:t>
      </w:r>
      <w:r>
        <w:rPr>
          <w:rFonts w:hint="eastAsia" w:eastAsia="宋体" w:cs="Times New Roman"/>
          <w:sz w:val="28"/>
          <w:szCs w:val="28"/>
          <w:lang w:val="en-US" w:eastAsia="zh-CN"/>
        </w:rPr>
        <w:t>泽州</w:t>
      </w:r>
      <w:r>
        <w:rPr>
          <w:rFonts w:hint="default" w:ascii="Times New Roman" w:hAnsi="Times New Roman" w:eastAsia="宋体" w:cs="Times New Roman"/>
          <w:sz w:val="28"/>
          <w:szCs w:val="28"/>
          <w:lang w:val="en-US" w:eastAsia="zh-CN"/>
        </w:rPr>
        <w:t>县多源互补、稳定可靠、配置高效、覆盖全县的大水网。</w:t>
      </w:r>
    </w:p>
    <w:p w14:paraId="5C87252B">
      <w:pPr>
        <w:pStyle w:val="5"/>
      </w:pPr>
      <w:bookmarkStart w:id="132" w:name="_Toc18469"/>
      <w:bookmarkStart w:id="133" w:name="_Toc4038"/>
      <w:bookmarkStart w:id="134" w:name="_Toc18595505"/>
      <w:bookmarkStart w:id="135" w:name="_Toc22108744"/>
      <w:bookmarkStart w:id="136" w:name="_Toc4691"/>
      <w:bookmarkStart w:id="137" w:name="_Toc17798323"/>
      <w:bookmarkStart w:id="138" w:name="_Toc36060123"/>
      <w:bookmarkStart w:id="139" w:name="_Toc20229476"/>
      <w:r>
        <w:rPr>
          <w:rFonts w:hint="eastAsia"/>
          <w:lang w:val="en-US" w:eastAsia="zh-CN"/>
        </w:rPr>
        <w:t>7.2</w:t>
      </w:r>
      <w:r>
        <w:t>规划水利基础设施及用地规模</w:t>
      </w:r>
      <w:bookmarkEnd w:id="132"/>
      <w:bookmarkEnd w:id="133"/>
      <w:bookmarkEnd w:id="134"/>
      <w:bookmarkEnd w:id="135"/>
      <w:bookmarkEnd w:id="136"/>
      <w:bookmarkEnd w:id="137"/>
      <w:bookmarkEnd w:id="138"/>
      <w:bookmarkEnd w:id="139"/>
    </w:p>
    <w:p w14:paraId="4D8E13B8">
      <w:pPr>
        <w:pStyle w:val="6"/>
      </w:pPr>
      <w:bookmarkStart w:id="140" w:name="_Toc36060124"/>
      <w:r>
        <w:rPr>
          <w:rFonts w:hint="eastAsia"/>
          <w:lang w:val="en-US" w:eastAsia="zh-CN"/>
        </w:rPr>
        <w:t>7.2.1</w:t>
      </w:r>
      <w:r>
        <w:t>水库</w:t>
      </w:r>
      <w:r>
        <w:rPr>
          <w:rFonts w:hint="eastAsia"/>
          <w:lang w:eastAsia="zh-CN"/>
        </w:rPr>
        <w:t>（</w:t>
      </w:r>
      <w:r>
        <w:rPr>
          <w:rFonts w:hint="eastAsia"/>
          <w:lang w:val="en-US" w:eastAsia="zh-CN"/>
        </w:rPr>
        <w:t>水电站</w:t>
      </w:r>
      <w:r>
        <w:rPr>
          <w:rFonts w:hint="eastAsia"/>
          <w:lang w:eastAsia="zh-CN"/>
        </w:rPr>
        <w:t>）</w:t>
      </w:r>
      <w:r>
        <w:t>工程</w:t>
      </w:r>
      <w:bookmarkEnd w:id="140"/>
    </w:p>
    <w:p w14:paraId="19F8132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cs="Times New Roman"/>
          <w:sz w:val="28"/>
          <w:szCs w:val="28"/>
          <w:lang w:val="en-US" w:eastAsia="zh-CN"/>
        </w:rPr>
      </w:pPr>
      <w:r>
        <w:rPr>
          <w:rFonts w:hint="eastAsia" w:eastAsia="宋体" w:cs="Times New Roman"/>
          <w:sz w:val="28"/>
          <w:szCs w:val="28"/>
          <w:lang w:val="en-US" w:eastAsia="zh-CN"/>
        </w:rPr>
        <w:t>泽州县“</w:t>
      </w:r>
      <w:r>
        <w:rPr>
          <w:rFonts w:ascii="Times New Roman" w:hAnsi="Times New Roman" w:eastAsia="宋体" w:cs="Times New Roman"/>
          <w:sz w:val="28"/>
          <w:szCs w:val="28"/>
        </w:rPr>
        <w:t>十四五</w:t>
      </w:r>
      <w:r>
        <w:rPr>
          <w:rFonts w:hint="eastAsia" w:eastAsia="宋体" w:cs="Times New Roman"/>
          <w:sz w:val="28"/>
          <w:szCs w:val="28"/>
          <w:lang w:val="en-US" w:eastAsia="zh-CN"/>
        </w:rPr>
        <w:t>”</w:t>
      </w:r>
      <w:r>
        <w:rPr>
          <w:rFonts w:ascii="Times New Roman" w:hAnsi="Times New Roman" w:eastAsia="宋体" w:cs="Times New Roman"/>
          <w:sz w:val="28"/>
          <w:szCs w:val="28"/>
        </w:rPr>
        <w:t>规划中规划的</w:t>
      </w:r>
      <w:r>
        <w:rPr>
          <w:rFonts w:hint="eastAsia" w:ascii="Times New Roman" w:hAnsi="Times New Roman" w:eastAsia="宋体" w:cs="Times New Roman"/>
          <w:sz w:val="28"/>
          <w:szCs w:val="28"/>
          <w:lang w:eastAsia="zh-CN"/>
        </w:rPr>
        <w:t>小型</w:t>
      </w:r>
      <w:r>
        <w:rPr>
          <w:rFonts w:ascii="Times New Roman" w:hAnsi="Times New Roman" w:eastAsia="宋体" w:cs="Times New Roman"/>
          <w:sz w:val="28"/>
          <w:szCs w:val="28"/>
        </w:rPr>
        <w:t>水</w:t>
      </w:r>
      <w:r>
        <w:rPr>
          <w:rFonts w:hint="eastAsia" w:eastAsia="宋体" w:cs="Times New Roman"/>
          <w:sz w:val="28"/>
          <w:szCs w:val="28"/>
          <w:lang w:val="en-US" w:eastAsia="zh-CN"/>
        </w:rPr>
        <w:t>电站</w:t>
      </w:r>
      <w:r>
        <w:rPr>
          <w:rFonts w:ascii="Times New Roman" w:hAnsi="Times New Roman" w:eastAsia="宋体" w:cs="Times New Roman"/>
          <w:sz w:val="28"/>
          <w:szCs w:val="28"/>
        </w:rPr>
        <w:t>工程有</w:t>
      </w:r>
      <w:r>
        <w:rPr>
          <w:rFonts w:hint="eastAsia" w:eastAsia="宋体" w:cs="Times New Roman"/>
          <w:sz w:val="28"/>
          <w:szCs w:val="28"/>
          <w:lang w:val="en-US" w:eastAsia="zh-CN"/>
        </w:rPr>
        <w:t>拴驴泉水电站生态电站工程</w:t>
      </w:r>
      <w:r>
        <w:rPr>
          <w:rFonts w:ascii="Times New Roman" w:hAnsi="Times New Roman" w:eastAsia="宋体" w:cs="Times New Roman"/>
          <w:sz w:val="28"/>
          <w:szCs w:val="28"/>
        </w:rPr>
        <w:t>。</w:t>
      </w:r>
      <w:r>
        <w:rPr>
          <w:rFonts w:hint="eastAsia" w:ascii="Times New Roman" w:hAnsi="Times New Roman" w:eastAsia="宋体" w:cs="Times New Roman"/>
          <w:sz w:val="28"/>
          <w:szCs w:val="28"/>
        </w:rPr>
        <w:t>在原报废小铺电站的基础上进行修复改造，包括引水工程、压力管道和电站厂房三部分</w:t>
      </w:r>
      <w:r>
        <w:rPr>
          <w:rFonts w:hint="eastAsia" w:eastAsia="宋体" w:cs="Times New Roman"/>
          <w:sz w:val="28"/>
          <w:szCs w:val="28"/>
          <w:lang w:eastAsia="zh-CN"/>
        </w:rPr>
        <w:t>，</w:t>
      </w:r>
      <w:r>
        <w:rPr>
          <w:rFonts w:hint="eastAsia" w:eastAsia="宋体" w:cs="Times New Roman"/>
          <w:sz w:val="28"/>
          <w:szCs w:val="28"/>
          <w:lang w:val="en-US" w:eastAsia="zh-CN"/>
        </w:rPr>
        <w:t>新增装机容量500kW。工程投资364万元。</w:t>
      </w:r>
    </w:p>
    <w:p w14:paraId="7884985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eastAsia="宋体" w:cs="Times New Roman"/>
          <w:sz w:val="28"/>
          <w:szCs w:val="28"/>
          <w:highlight w:val="yellow"/>
          <w:lang w:val="en-US" w:eastAsia="zh-CN"/>
        </w:rPr>
      </w:pPr>
      <w:r>
        <w:rPr>
          <w:rFonts w:hint="eastAsia" w:eastAsia="宋体" w:cs="Times New Roman"/>
          <w:sz w:val="28"/>
          <w:szCs w:val="28"/>
          <w:highlight w:val="none"/>
          <w:lang w:val="en-US" w:eastAsia="zh-CN"/>
        </w:rPr>
        <w:t xml:space="preserve">拴驴泉水电站生态电站占地范围属于水库范围内。  </w:t>
      </w:r>
    </w:p>
    <w:p w14:paraId="1F84BE83">
      <w:pPr>
        <w:pStyle w:val="6"/>
      </w:pPr>
      <w:bookmarkStart w:id="141" w:name="_Toc36060125"/>
      <w:r>
        <w:rPr>
          <w:rFonts w:hint="eastAsia"/>
          <w:lang w:val="en-US" w:eastAsia="zh-CN"/>
        </w:rPr>
        <w:t>7.2.2</w:t>
      </w:r>
      <w:r>
        <w:t>引调水工程</w:t>
      </w:r>
      <w:bookmarkEnd w:id="141"/>
    </w:p>
    <w:p w14:paraId="14E285FF">
      <w:pPr>
        <w:keepNext w:val="0"/>
        <w:keepLines w:val="0"/>
        <w:pageBreakBefore w:val="0"/>
        <w:tabs>
          <w:tab w:val="left" w:pos="2240"/>
        </w:tabs>
        <w:kinsoku/>
        <w:wordWrap/>
        <w:overflowPunct/>
        <w:topLinePunct w:val="0"/>
        <w:autoSpaceDE/>
        <w:autoSpaceDN/>
        <w:bidi w:val="0"/>
        <w:adjustRightInd w:val="0"/>
        <w:snapToGrid w:val="0"/>
        <w:spacing w:line="360" w:lineRule="auto"/>
        <w:ind w:firstLine="570" w:firstLineChars="200"/>
        <w:jc w:val="left"/>
        <w:textAlignment w:val="auto"/>
        <w:rPr>
          <w:rFonts w:hint="default" w:ascii="Times New Roman" w:hAnsi="Times New Roman" w:eastAsia="宋体" w:cs="Times New Roman"/>
          <w:b/>
          <w:bCs/>
          <w:spacing w:val="2"/>
          <w:sz w:val="28"/>
          <w:szCs w:val="28"/>
        </w:rPr>
      </w:pPr>
      <w:r>
        <w:rPr>
          <w:rFonts w:hint="eastAsia" w:eastAsia="宋体" w:cs="Times New Roman"/>
          <w:b/>
          <w:bCs/>
          <w:spacing w:val="2"/>
          <w:sz w:val="28"/>
          <w:szCs w:val="28"/>
          <w:lang w:val="en-US" w:eastAsia="zh-CN"/>
        </w:rPr>
        <w:t>1</w:t>
      </w:r>
      <w:r>
        <w:rPr>
          <w:rFonts w:hint="default" w:ascii="Times New Roman" w:hAnsi="Times New Roman" w:eastAsia="宋体" w:cs="Times New Roman"/>
          <w:b/>
          <w:bCs/>
          <w:spacing w:val="2"/>
          <w:sz w:val="28"/>
          <w:szCs w:val="28"/>
        </w:rPr>
        <w:t>）</w:t>
      </w:r>
      <w:r>
        <w:rPr>
          <w:rFonts w:hint="eastAsia" w:eastAsia="宋体" w:cs="Times New Roman"/>
          <w:b/>
          <w:bCs/>
          <w:spacing w:val="2"/>
          <w:sz w:val="28"/>
          <w:szCs w:val="28"/>
          <w:lang w:val="en-US" w:eastAsia="zh-CN"/>
        </w:rPr>
        <w:t>张峰调水</w:t>
      </w:r>
      <w:r>
        <w:rPr>
          <w:rFonts w:hint="default" w:ascii="Times New Roman" w:hAnsi="Times New Roman" w:eastAsia="宋体" w:cs="Times New Roman"/>
          <w:b/>
          <w:bCs/>
          <w:spacing w:val="2"/>
          <w:sz w:val="28"/>
          <w:szCs w:val="28"/>
        </w:rPr>
        <w:t>工程</w:t>
      </w:r>
    </w:p>
    <w:p w14:paraId="0836464A">
      <w:pPr>
        <w:pStyle w:val="2"/>
        <w:keepNext w:val="0"/>
        <w:keepLines w:val="0"/>
        <w:pageBreakBefore w:val="0"/>
        <w:tabs>
          <w:tab w:val="left" w:pos="224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张峰水库晋城调水工程在张峰水库总干渠一干分水口及阳城县润城镇屯城村西南 侧沁河干流（距张峰水库约 74km）设置取水口，分别引取张峰水库水和下游沁河干流 河道水，共同满足中心城区用水需求。张峰水库晋城调水工程包含水库取水主干线路和 河道取水线路两部分。水库取水主干线路自张峰水库总干渠一干分水口取水，包括主干 线取水口、加压泵站、输水隧洞、输水管道、事故备用水池等主要建筑物。河道取水线 路自张峰水库下游沁河河道内取水，经取水泵站加压输水至水库取水主干线路加压泵站 进水池内，包括拦河闸、进水闸、沉沙池、取水泵站、输水管道等主要建筑物。</w:t>
      </w:r>
    </w:p>
    <w:p w14:paraId="2C44638E">
      <w:pPr>
        <w:pStyle w:val="2"/>
        <w:keepNext w:val="0"/>
        <w:keepLines w:val="0"/>
        <w:pageBreakBefore w:val="0"/>
        <w:widowControl w:val="0"/>
        <w:tabs>
          <w:tab w:val="left" w:pos="224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张峰水库晋城调水工程包含水库取水主干线路和河道取水线路两部分。水库取水主 干线路自张峰水库输水工程总干渠一干分水口取水，中途设置 1 座加压提升泵站，经压 力管道、隧洞输水至规划待建的晋城市第四水厂。河道取水线路自张峰水库下游沁河河 道内取水，经取水泵站加压输水至水库取水主干线路加压泵站进水池内。</w:t>
      </w:r>
    </w:p>
    <w:p w14:paraId="3577FBA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kern w:val="2"/>
          <w:sz w:val="28"/>
          <w:szCs w:val="28"/>
          <w:highlight w:val="yellow"/>
          <w:vertAlign w:val="baseline"/>
          <w:lang w:val="en-US" w:eastAsia="zh-CN" w:bidi="ar-SA"/>
        </w:rPr>
      </w:pPr>
      <w:r>
        <w:rPr>
          <w:rFonts w:hint="eastAsia" w:ascii="Times New Roman" w:hAnsi="Times New Roman" w:eastAsia="宋体" w:cs="Times New Roman"/>
          <w:color w:val="auto"/>
          <w:kern w:val="2"/>
          <w:sz w:val="28"/>
          <w:szCs w:val="28"/>
          <w:highlight w:val="none"/>
          <w:lang w:val="en-US" w:eastAsia="zh-CN" w:bidi="ar-SA"/>
        </w:rPr>
        <w:t>张峰调水工程经泽州县境内，经统计，</w:t>
      </w:r>
      <w:r>
        <w:rPr>
          <w:rFonts w:hint="eastAsia" w:eastAsia="宋体" w:cs="Times New Roman"/>
          <w:color w:val="auto"/>
          <w:kern w:val="2"/>
          <w:sz w:val="28"/>
          <w:szCs w:val="28"/>
          <w:highlight w:val="none"/>
          <w:lang w:val="en-US" w:eastAsia="zh-CN" w:bidi="ar-SA"/>
        </w:rPr>
        <w:t>管理范围面积为0.06km</w:t>
      </w:r>
      <w:r>
        <w:rPr>
          <w:rFonts w:hint="eastAsia" w:eastAsia="宋体" w:cs="Times New Roman"/>
          <w:color w:val="auto"/>
          <w:kern w:val="2"/>
          <w:sz w:val="28"/>
          <w:szCs w:val="28"/>
          <w:highlight w:val="none"/>
          <w:vertAlign w:val="superscript"/>
          <w:lang w:val="en-US" w:eastAsia="zh-CN" w:bidi="ar-SA"/>
        </w:rPr>
        <w:t>2</w:t>
      </w:r>
      <w:r>
        <w:rPr>
          <w:rFonts w:hint="eastAsia" w:eastAsia="宋体" w:cs="Times New Roman"/>
          <w:color w:val="auto"/>
          <w:kern w:val="2"/>
          <w:sz w:val="28"/>
          <w:szCs w:val="28"/>
          <w:highlight w:val="none"/>
          <w:vertAlign w:val="baseline"/>
          <w:lang w:val="en-US" w:eastAsia="zh-CN" w:bidi="ar-SA"/>
        </w:rPr>
        <w:t>。</w:t>
      </w:r>
    </w:p>
    <w:p w14:paraId="02CC330F">
      <w:pPr>
        <w:keepNext w:val="0"/>
        <w:keepLines w:val="0"/>
        <w:pageBreakBefore w:val="0"/>
        <w:tabs>
          <w:tab w:val="left" w:pos="2240"/>
        </w:tabs>
        <w:kinsoku/>
        <w:wordWrap/>
        <w:overflowPunct/>
        <w:topLinePunct w:val="0"/>
        <w:autoSpaceDE/>
        <w:autoSpaceDN/>
        <w:bidi w:val="0"/>
        <w:adjustRightInd w:val="0"/>
        <w:snapToGrid w:val="0"/>
        <w:spacing w:line="360" w:lineRule="auto"/>
        <w:ind w:firstLine="570" w:firstLineChars="200"/>
        <w:jc w:val="left"/>
        <w:textAlignment w:val="auto"/>
        <w:rPr>
          <w:rFonts w:hint="default" w:ascii="Times New Roman" w:hAnsi="Times New Roman" w:eastAsia="宋体" w:cs="Times New Roman"/>
          <w:b/>
          <w:bCs/>
          <w:spacing w:val="2"/>
          <w:sz w:val="28"/>
          <w:szCs w:val="28"/>
          <w:highlight w:val="none"/>
        </w:rPr>
      </w:pPr>
      <w:r>
        <w:rPr>
          <w:rFonts w:hint="eastAsia" w:eastAsia="宋体" w:cs="Times New Roman"/>
          <w:b/>
          <w:bCs/>
          <w:spacing w:val="2"/>
          <w:sz w:val="28"/>
          <w:szCs w:val="28"/>
          <w:highlight w:val="none"/>
          <w:lang w:val="en-US" w:eastAsia="zh-CN"/>
        </w:rPr>
        <w:t>2</w:t>
      </w:r>
      <w:r>
        <w:rPr>
          <w:rFonts w:hint="default" w:ascii="Times New Roman" w:hAnsi="Times New Roman" w:eastAsia="宋体" w:cs="Times New Roman"/>
          <w:b/>
          <w:bCs/>
          <w:spacing w:val="2"/>
          <w:sz w:val="28"/>
          <w:szCs w:val="28"/>
          <w:highlight w:val="none"/>
        </w:rPr>
        <w:t>）</w:t>
      </w:r>
      <w:r>
        <w:rPr>
          <w:rFonts w:hint="eastAsia" w:eastAsia="宋体" w:cs="Times New Roman"/>
          <w:b/>
          <w:bCs/>
          <w:spacing w:val="2"/>
          <w:sz w:val="28"/>
          <w:szCs w:val="28"/>
          <w:highlight w:val="none"/>
          <w:lang w:val="en-US" w:eastAsia="zh-CN"/>
        </w:rPr>
        <w:t>泽州县中北部供水</w:t>
      </w:r>
      <w:r>
        <w:rPr>
          <w:rFonts w:hint="default" w:ascii="Times New Roman" w:hAnsi="Times New Roman" w:eastAsia="宋体" w:cs="Times New Roman"/>
          <w:b/>
          <w:bCs/>
          <w:spacing w:val="2"/>
          <w:sz w:val="28"/>
          <w:szCs w:val="28"/>
          <w:highlight w:val="none"/>
        </w:rPr>
        <w:t>工程</w:t>
      </w:r>
    </w:p>
    <w:p w14:paraId="51BFDEC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lang w:val="en-US" w:eastAsia="zh-CN"/>
        </w:rPr>
      </w:pPr>
      <w:r>
        <w:rPr>
          <w:rFonts w:hint="eastAsia" w:eastAsia="宋体" w:cs="Times New Roman"/>
          <w:sz w:val="28"/>
          <w:szCs w:val="28"/>
          <w:highlight w:val="none"/>
          <w:lang w:val="en-US" w:eastAsia="zh-CN"/>
        </w:rPr>
        <w:t>（1）工程概况</w:t>
      </w:r>
    </w:p>
    <w:p w14:paraId="190E861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建设地点：晋城市泽州县北义城镇、巴公镇、高都镇、大阳镇、下村镇、大东沟镇、金村镇</w:t>
      </w:r>
      <w:r>
        <w:rPr>
          <w:rFonts w:hint="eastAsia" w:eastAsia="宋体" w:cs="Times New Roman"/>
          <w:sz w:val="28"/>
          <w:szCs w:val="28"/>
          <w:highlight w:val="none"/>
          <w:lang w:val="en-US" w:eastAsia="zh-CN"/>
        </w:rPr>
        <w:t>。</w:t>
      </w:r>
    </w:p>
    <w:p w14:paraId="4A9E3DA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建设内容：①泽州县中北部规模化供水工程北部片区覆盖北义城镇、巴公镇、高都镇、大阳镇、下村镇、大东沟镇</w:t>
      </w:r>
      <w:r>
        <w:rPr>
          <w:rFonts w:hint="default" w:ascii="Times New Roman" w:hAnsi="Times New Roman" w:eastAsia="宋体" w:cs="Times New Roman"/>
          <w:sz w:val="28"/>
          <w:szCs w:val="28"/>
          <w:highlight w:val="none"/>
          <w:lang w:val="en-US" w:eastAsia="zh-CN"/>
        </w:rPr>
        <w:t>6</w:t>
      </w:r>
      <w:r>
        <w:rPr>
          <w:rFonts w:hint="eastAsia" w:ascii="Times New Roman" w:hAnsi="Times New Roman" w:eastAsia="宋体" w:cs="Times New Roman"/>
          <w:sz w:val="28"/>
          <w:szCs w:val="28"/>
          <w:highlight w:val="none"/>
          <w:lang w:val="en-US" w:eastAsia="zh-CN"/>
        </w:rPr>
        <w:t>乡镇</w:t>
      </w:r>
      <w:r>
        <w:rPr>
          <w:rFonts w:hint="default" w:ascii="Times New Roman" w:hAnsi="Times New Roman" w:eastAsia="宋体" w:cs="Times New Roman"/>
          <w:sz w:val="28"/>
          <w:szCs w:val="28"/>
          <w:highlight w:val="none"/>
          <w:lang w:val="en-US" w:eastAsia="zh-CN"/>
        </w:rPr>
        <w:t>20.22</w:t>
      </w:r>
      <w:r>
        <w:rPr>
          <w:rFonts w:hint="eastAsia" w:ascii="Times New Roman" w:hAnsi="Times New Roman" w:eastAsia="宋体" w:cs="Times New Roman"/>
          <w:sz w:val="28"/>
          <w:szCs w:val="28"/>
          <w:highlight w:val="none"/>
          <w:lang w:val="en-US" w:eastAsia="zh-CN"/>
        </w:rPr>
        <w:t>万人，供水管道长度</w:t>
      </w:r>
      <w:r>
        <w:rPr>
          <w:rFonts w:hint="default" w:ascii="Times New Roman" w:hAnsi="Times New Roman" w:eastAsia="宋体" w:cs="Times New Roman"/>
          <w:sz w:val="28"/>
          <w:szCs w:val="28"/>
          <w:highlight w:val="none"/>
          <w:lang w:val="en-US" w:eastAsia="zh-CN"/>
        </w:rPr>
        <w:t>256.92km</w:t>
      </w:r>
      <w:r>
        <w:rPr>
          <w:rFonts w:hint="eastAsia" w:ascii="Times New Roman" w:hAnsi="Times New Roman" w:eastAsia="宋体" w:cs="Times New Roman"/>
          <w:sz w:val="28"/>
          <w:szCs w:val="28"/>
          <w:highlight w:val="none"/>
          <w:lang w:val="en-US" w:eastAsia="zh-CN"/>
        </w:rPr>
        <w:t>，新建水池</w:t>
      </w:r>
      <w:r>
        <w:rPr>
          <w:rFonts w:hint="default" w:ascii="Times New Roman" w:hAnsi="Times New Roman" w:eastAsia="宋体" w:cs="Times New Roman"/>
          <w:sz w:val="28"/>
          <w:szCs w:val="28"/>
          <w:highlight w:val="none"/>
          <w:lang w:val="en-US" w:eastAsia="zh-CN"/>
        </w:rPr>
        <w:t>7</w:t>
      </w:r>
      <w:r>
        <w:rPr>
          <w:rFonts w:hint="eastAsia" w:ascii="Times New Roman" w:hAnsi="Times New Roman" w:eastAsia="宋体" w:cs="Times New Roman"/>
          <w:sz w:val="28"/>
          <w:szCs w:val="28"/>
          <w:highlight w:val="none"/>
          <w:lang w:val="en-US" w:eastAsia="zh-CN"/>
        </w:rPr>
        <w:t>座，新建泵站</w:t>
      </w:r>
      <w:r>
        <w:rPr>
          <w:rFonts w:hint="default" w:ascii="Times New Roman" w:hAnsi="Times New Roman" w:eastAsia="宋体" w:cs="Times New Roman"/>
          <w:sz w:val="28"/>
          <w:szCs w:val="28"/>
          <w:highlight w:val="none"/>
          <w:lang w:val="en-US" w:eastAsia="zh-CN"/>
        </w:rPr>
        <w:t>4</w:t>
      </w:r>
      <w:r>
        <w:rPr>
          <w:rFonts w:hint="eastAsia" w:ascii="Times New Roman" w:hAnsi="Times New Roman" w:eastAsia="宋体" w:cs="Times New Roman"/>
          <w:sz w:val="28"/>
          <w:szCs w:val="28"/>
          <w:highlight w:val="none"/>
          <w:lang w:val="en-US" w:eastAsia="zh-CN"/>
        </w:rPr>
        <w:t>座，新建净水厂</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座，年供水量</w:t>
      </w:r>
      <w:r>
        <w:rPr>
          <w:rFonts w:hint="default" w:ascii="Times New Roman" w:hAnsi="Times New Roman" w:eastAsia="宋体" w:cs="Times New Roman"/>
          <w:sz w:val="28"/>
          <w:szCs w:val="28"/>
          <w:highlight w:val="none"/>
          <w:lang w:val="en-US" w:eastAsia="zh-CN"/>
        </w:rPr>
        <w:t>814.48</w:t>
      </w:r>
      <w:r>
        <w:rPr>
          <w:rFonts w:hint="eastAsia" w:ascii="Times New Roman" w:hAnsi="Times New Roman" w:eastAsia="宋体" w:cs="Times New Roman"/>
          <w:sz w:val="28"/>
          <w:szCs w:val="28"/>
          <w:highlight w:val="none"/>
          <w:lang w:val="en-US" w:eastAsia="zh-CN"/>
        </w:rPr>
        <w:t>万</w:t>
      </w:r>
      <w:r>
        <w:rPr>
          <w:rFonts w:hint="default" w:ascii="Times New Roman" w:hAnsi="Times New Roman" w:eastAsia="宋体" w:cs="Times New Roman"/>
          <w:sz w:val="28"/>
          <w:szCs w:val="28"/>
          <w:highlight w:val="none"/>
          <w:lang w:val="en-US" w:eastAsia="zh-CN"/>
        </w:rPr>
        <w:t>m³</w:t>
      </w:r>
      <w:r>
        <w:rPr>
          <w:rFonts w:hint="eastAsia" w:ascii="Times New Roman" w:hAnsi="Times New Roman" w:eastAsia="宋体" w:cs="Times New Roman"/>
          <w:sz w:val="28"/>
          <w:szCs w:val="28"/>
          <w:highlight w:val="none"/>
          <w:lang w:val="en-US" w:eastAsia="zh-CN"/>
        </w:rPr>
        <w:t>；②泽州县中北部规模化供水工程中部片区覆盖金村镇</w:t>
      </w:r>
      <w:r>
        <w:rPr>
          <w:rFonts w:hint="default" w:ascii="Times New Roman" w:hAnsi="Times New Roman" w:eastAsia="宋体" w:cs="Times New Roman"/>
          <w:sz w:val="28"/>
          <w:szCs w:val="28"/>
          <w:highlight w:val="none"/>
          <w:lang w:val="en-US" w:eastAsia="zh-CN"/>
        </w:rPr>
        <w:t>1.66</w:t>
      </w:r>
      <w:r>
        <w:rPr>
          <w:rFonts w:hint="eastAsia" w:ascii="Times New Roman" w:hAnsi="Times New Roman" w:eastAsia="宋体" w:cs="Times New Roman"/>
          <w:sz w:val="28"/>
          <w:szCs w:val="28"/>
          <w:highlight w:val="none"/>
          <w:lang w:val="en-US" w:eastAsia="zh-CN"/>
        </w:rPr>
        <w:t>万人，供水管道长度</w:t>
      </w:r>
      <w:r>
        <w:rPr>
          <w:rFonts w:hint="default" w:ascii="Times New Roman" w:hAnsi="Times New Roman" w:eastAsia="宋体" w:cs="Times New Roman"/>
          <w:sz w:val="28"/>
          <w:szCs w:val="28"/>
          <w:highlight w:val="none"/>
          <w:lang w:val="en-US" w:eastAsia="zh-CN"/>
        </w:rPr>
        <w:t>25.86km</w:t>
      </w:r>
      <w:r>
        <w:rPr>
          <w:rFonts w:hint="eastAsia" w:ascii="Times New Roman" w:hAnsi="Times New Roman" w:eastAsia="宋体" w:cs="Times New Roman"/>
          <w:sz w:val="28"/>
          <w:szCs w:val="28"/>
          <w:highlight w:val="none"/>
          <w:lang w:val="en-US" w:eastAsia="zh-CN"/>
        </w:rPr>
        <w:t>，新建泵站</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座，新建净水厂</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座，年供水量</w:t>
      </w:r>
      <w:r>
        <w:rPr>
          <w:rFonts w:hint="default" w:ascii="Times New Roman" w:hAnsi="Times New Roman" w:eastAsia="宋体" w:cs="Times New Roman"/>
          <w:sz w:val="28"/>
          <w:szCs w:val="28"/>
          <w:highlight w:val="none"/>
          <w:lang w:val="en-US" w:eastAsia="zh-CN"/>
        </w:rPr>
        <w:t>66.54</w:t>
      </w:r>
      <w:r>
        <w:rPr>
          <w:rFonts w:hint="eastAsia" w:ascii="Times New Roman" w:hAnsi="Times New Roman" w:eastAsia="宋体" w:cs="Times New Roman"/>
          <w:sz w:val="28"/>
          <w:szCs w:val="28"/>
          <w:highlight w:val="none"/>
          <w:lang w:val="en-US" w:eastAsia="zh-CN"/>
        </w:rPr>
        <w:t>万</w:t>
      </w:r>
      <w:r>
        <w:rPr>
          <w:rFonts w:hint="default" w:ascii="Times New Roman" w:hAnsi="Times New Roman" w:eastAsia="宋体" w:cs="Times New Roman"/>
          <w:sz w:val="28"/>
          <w:szCs w:val="28"/>
          <w:highlight w:val="none"/>
          <w:lang w:val="en-US" w:eastAsia="zh-CN"/>
        </w:rPr>
        <w:t>m³</w:t>
      </w:r>
      <w:r>
        <w:rPr>
          <w:rFonts w:hint="eastAsia" w:ascii="Times New Roman" w:hAnsi="Times New Roman" w:eastAsia="宋体" w:cs="Times New Roman"/>
          <w:sz w:val="28"/>
          <w:szCs w:val="28"/>
          <w:highlight w:val="none"/>
          <w:lang w:val="en-US" w:eastAsia="zh-CN"/>
        </w:rPr>
        <w:t>；③泽州县西部水网工程西部片区管道长度</w:t>
      </w:r>
      <w:r>
        <w:rPr>
          <w:rFonts w:hint="default" w:ascii="Times New Roman" w:hAnsi="Times New Roman" w:eastAsia="宋体" w:cs="Times New Roman"/>
          <w:sz w:val="28"/>
          <w:szCs w:val="28"/>
          <w:highlight w:val="none"/>
          <w:lang w:val="en-US" w:eastAsia="zh-CN"/>
        </w:rPr>
        <w:t>71.4km</w:t>
      </w:r>
      <w:r>
        <w:rPr>
          <w:rFonts w:hint="eastAsia" w:ascii="Times New Roman" w:hAnsi="Times New Roman" w:eastAsia="宋体" w:cs="Times New Roman"/>
          <w:sz w:val="28"/>
          <w:szCs w:val="28"/>
          <w:highlight w:val="none"/>
          <w:lang w:val="en-US" w:eastAsia="zh-CN"/>
        </w:rPr>
        <w:t>，新建水池</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座，新建净水厂</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座，新建泵站</w:t>
      </w:r>
      <w:r>
        <w:rPr>
          <w:rFonts w:hint="default" w:ascii="Times New Roman" w:hAnsi="Times New Roman" w:eastAsia="宋体" w:cs="Times New Roman"/>
          <w:sz w:val="28"/>
          <w:szCs w:val="28"/>
          <w:highlight w:val="none"/>
          <w:lang w:val="en-US" w:eastAsia="zh-CN"/>
        </w:rPr>
        <w:t>3</w:t>
      </w:r>
      <w:r>
        <w:rPr>
          <w:rFonts w:hint="eastAsia" w:ascii="Times New Roman" w:hAnsi="Times New Roman" w:eastAsia="宋体" w:cs="Times New Roman"/>
          <w:sz w:val="28"/>
          <w:szCs w:val="28"/>
          <w:highlight w:val="none"/>
          <w:lang w:val="en-US" w:eastAsia="zh-CN"/>
        </w:rPr>
        <w:t>座，年供水量</w:t>
      </w:r>
      <w:r>
        <w:rPr>
          <w:rFonts w:hint="default" w:ascii="Times New Roman" w:hAnsi="Times New Roman" w:eastAsia="宋体" w:cs="Times New Roman"/>
          <w:sz w:val="28"/>
          <w:szCs w:val="28"/>
          <w:highlight w:val="none"/>
          <w:lang w:val="en-US" w:eastAsia="zh-CN"/>
        </w:rPr>
        <w:t>186.26</w:t>
      </w:r>
      <w:r>
        <w:rPr>
          <w:rFonts w:hint="eastAsia" w:ascii="Times New Roman" w:hAnsi="Times New Roman" w:eastAsia="宋体" w:cs="Times New Roman"/>
          <w:sz w:val="28"/>
          <w:szCs w:val="28"/>
          <w:highlight w:val="none"/>
          <w:lang w:val="en-US" w:eastAsia="zh-CN"/>
        </w:rPr>
        <w:t>万</w:t>
      </w:r>
      <w:r>
        <w:rPr>
          <w:rFonts w:hint="default" w:ascii="Times New Roman" w:hAnsi="Times New Roman" w:eastAsia="宋体" w:cs="Times New Roman"/>
          <w:sz w:val="28"/>
          <w:szCs w:val="28"/>
          <w:highlight w:val="none"/>
          <w:lang w:val="en-US" w:eastAsia="zh-CN"/>
        </w:rPr>
        <w:t>m³</w:t>
      </w:r>
      <w:r>
        <w:rPr>
          <w:rFonts w:hint="eastAsia" w:ascii="Times New Roman" w:hAnsi="Times New Roman" w:eastAsia="宋体" w:cs="Times New Roman"/>
          <w:sz w:val="28"/>
          <w:szCs w:val="28"/>
          <w:highlight w:val="none"/>
          <w:lang w:val="en-US" w:eastAsia="zh-CN"/>
        </w:rPr>
        <w:t>，设计流量</w:t>
      </w:r>
      <w:r>
        <w:rPr>
          <w:rFonts w:hint="default" w:ascii="Times New Roman" w:hAnsi="Times New Roman" w:eastAsia="宋体" w:cs="Times New Roman"/>
          <w:sz w:val="28"/>
          <w:szCs w:val="28"/>
          <w:highlight w:val="none"/>
          <w:lang w:val="en-US" w:eastAsia="zh-CN"/>
        </w:rPr>
        <w:t>0.059m³/s</w:t>
      </w:r>
      <w:r>
        <w:rPr>
          <w:rFonts w:hint="eastAsia" w:ascii="Times New Roman" w:hAnsi="Times New Roman" w:eastAsia="宋体" w:cs="Times New Roman"/>
          <w:sz w:val="28"/>
          <w:szCs w:val="28"/>
          <w:highlight w:val="none"/>
          <w:lang w:val="en-US" w:eastAsia="zh-CN"/>
        </w:rPr>
        <w:t>；④泽州县中北部规模化供水工程东部片区管道长度</w:t>
      </w:r>
      <w:r>
        <w:rPr>
          <w:rFonts w:hint="default" w:ascii="Times New Roman" w:hAnsi="Times New Roman" w:eastAsia="宋体" w:cs="Times New Roman"/>
          <w:sz w:val="28"/>
          <w:szCs w:val="28"/>
          <w:highlight w:val="none"/>
          <w:lang w:val="en-US" w:eastAsia="zh-CN"/>
        </w:rPr>
        <w:t>7.05km</w:t>
      </w:r>
      <w:r>
        <w:rPr>
          <w:rFonts w:hint="eastAsia" w:ascii="Times New Roman" w:hAnsi="Times New Roman" w:eastAsia="宋体" w:cs="Times New Roman"/>
          <w:sz w:val="28"/>
          <w:szCs w:val="28"/>
          <w:highlight w:val="none"/>
          <w:lang w:val="en-US" w:eastAsia="zh-CN"/>
        </w:rPr>
        <w:t>，最高日供水量为</w:t>
      </w:r>
      <w:r>
        <w:rPr>
          <w:rFonts w:hint="default" w:ascii="Times New Roman" w:hAnsi="Times New Roman" w:eastAsia="宋体" w:cs="Times New Roman"/>
          <w:sz w:val="28"/>
          <w:szCs w:val="28"/>
          <w:highlight w:val="none"/>
          <w:lang w:val="en-US" w:eastAsia="zh-CN"/>
        </w:rPr>
        <w:t>114.95m³/d</w:t>
      </w:r>
      <w:r>
        <w:rPr>
          <w:rFonts w:hint="eastAsia" w:ascii="Times New Roman" w:hAnsi="Times New Roman" w:eastAsia="宋体" w:cs="Times New Roman"/>
          <w:sz w:val="28"/>
          <w:szCs w:val="28"/>
          <w:highlight w:val="none"/>
          <w:lang w:val="en-US" w:eastAsia="zh-CN"/>
        </w:rPr>
        <w:t>，年供水量</w:t>
      </w:r>
      <w:r>
        <w:rPr>
          <w:rFonts w:hint="default" w:ascii="Times New Roman" w:hAnsi="Times New Roman" w:eastAsia="宋体" w:cs="Times New Roman"/>
          <w:sz w:val="28"/>
          <w:szCs w:val="28"/>
          <w:highlight w:val="none"/>
          <w:lang w:val="en-US" w:eastAsia="zh-CN"/>
        </w:rPr>
        <w:t>4.2</w:t>
      </w:r>
      <w:r>
        <w:rPr>
          <w:rFonts w:hint="eastAsia" w:ascii="Times New Roman" w:hAnsi="Times New Roman" w:eastAsia="宋体" w:cs="Times New Roman"/>
          <w:sz w:val="28"/>
          <w:szCs w:val="28"/>
          <w:highlight w:val="none"/>
          <w:lang w:val="en-US" w:eastAsia="zh-CN"/>
        </w:rPr>
        <w:t>万</w:t>
      </w:r>
      <w:r>
        <w:rPr>
          <w:rFonts w:hint="default" w:ascii="Times New Roman" w:hAnsi="Times New Roman" w:eastAsia="宋体" w:cs="Times New Roman"/>
          <w:sz w:val="28"/>
          <w:szCs w:val="28"/>
          <w:highlight w:val="none"/>
          <w:lang w:val="en-US" w:eastAsia="zh-CN"/>
        </w:rPr>
        <w:t>m³</w:t>
      </w:r>
      <w:r>
        <w:rPr>
          <w:rFonts w:hint="eastAsia" w:ascii="Times New Roman" w:hAnsi="Times New Roman" w:eastAsia="宋体" w:cs="Times New Roman"/>
          <w:sz w:val="28"/>
          <w:szCs w:val="28"/>
          <w:highlight w:val="none"/>
          <w:lang w:val="en-US" w:eastAsia="zh-CN"/>
        </w:rPr>
        <w:t>。</w:t>
      </w:r>
    </w:p>
    <w:p w14:paraId="6D683C2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工程效益：保障</w:t>
      </w:r>
      <w:r>
        <w:rPr>
          <w:rFonts w:hint="default" w:ascii="Times New Roman" w:hAnsi="Times New Roman" w:eastAsia="宋体" w:cs="Times New Roman"/>
          <w:sz w:val="28"/>
          <w:szCs w:val="28"/>
          <w:highlight w:val="none"/>
          <w:lang w:val="en-US" w:eastAsia="zh-CN"/>
        </w:rPr>
        <w:t>21.9</w:t>
      </w:r>
      <w:r>
        <w:rPr>
          <w:rFonts w:hint="eastAsia" w:ascii="Times New Roman" w:hAnsi="Times New Roman" w:eastAsia="宋体" w:cs="Times New Roman"/>
          <w:sz w:val="28"/>
          <w:szCs w:val="28"/>
          <w:highlight w:val="none"/>
          <w:lang w:val="en-US" w:eastAsia="zh-CN"/>
        </w:rPr>
        <w:t>万人用水需求。</w:t>
      </w:r>
    </w:p>
    <w:p w14:paraId="7D5D8E9F">
      <w:pPr>
        <w:pStyle w:val="2"/>
        <w:keepNext w:val="0"/>
        <w:keepLines w:val="0"/>
        <w:pageBreakBefore w:val="0"/>
        <w:tabs>
          <w:tab w:val="left" w:pos="2240"/>
        </w:tabs>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宋体" w:cs="Times New Roman"/>
          <w:color w:val="auto"/>
          <w:sz w:val="28"/>
          <w:szCs w:val="28"/>
          <w:highlight w:val="none"/>
          <w:lang w:val="en-US" w:eastAsia="zh-CN"/>
        </w:rPr>
      </w:pPr>
      <w:r>
        <w:rPr>
          <w:rFonts w:hint="eastAsia" w:cs="Times New Roman"/>
          <w:color w:val="auto"/>
          <w:sz w:val="28"/>
          <w:szCs w:val="28"/>
          <w:highlight w:val="none"/>
          <w:lang w:val="en-US" w:eastAsia="zh-CN"/>
        </w:rPr>
        <w:t>（2）管理范围：工程以输水管道、泵站、蓄水池、综合管理楼建设为主要内容，因工程处于前期规划阶段，本次规划暂不统计工程管理范围。</w:t>
      </w:r>
    </w:p>
    <w:p w14:paraId="5A97D620">
      <w:pPr>
        <w:pStyle w:val="6"/>
      </w:pPr>
      <w:bookmarkStart w:id="142" w:name="_Toc36060129"/>
      <w:r>
        <w:rPr>
          <w:rFonts w:hint="eastAsia"/>
          <w:lang w:val="en-US" w:eastAsia="zh-CN"/>
        </w:rPr>
        <w:t>7.2.3</w:t>
      </w:r>
      <w:r>
        <w:t>灌区工程</w:t>
      </w:r>
      <w:bookmarkEnd w:id="142"/>
    </w:p>
    <w:p w14:paraId="1B502349">
      <w:pPr>
        <w:spacing w:line="580" w:lineRule="exact"/>
        <w:ind w:firstLine="560"/>
        <w:rPr>
          <w:rFonts w:hint="default" w:eastAsia="宋体"/>
          <w:sz w:val="28"/>
          <w:szCs w:val="28"/>
          <w:lang w:val="en-US" w:eastAsia="zh-CN"/>
        </w:rPr>
      </w:pPr>
      <w:bookmarkStart w:id="143" w:name="_Toc36060130"/>
      <w:r>
        <w:rPr>
          <w:rFonts w:hint="eastAsia" w:eastAsia="宋体"/>
          <w:sz w:val="28"/>
          <w:szCs w:val="28"/>
          <w:lang w:val="en-US" w:eastAsia="zh-CN"/>
        </w:rPr>
        <w:t>（1）工程概况</w:t>
      </w:r>
    </w:p>
    <w:p w14:paraId="6AC91BA7">
      <w:pPr>
        <w:spacing w:line="580" w:lineRule="exact"/>
        <w:ind w:firstLine="560"/>
        <w:rPr>
          <w:rFonts w:hint="default" w:eastAsia="宋体"/>
          <w:sz w:val="28"/>
          <w:szCs w:val="28"/>
        </w:rPr>
      </w:pPr>
      <w:r>
        <w:rPr>
          <w:rFonts w:eastAsia="宋体"/>
          <w:sz w:val="28"/>
          <w:szCs w:val="28"/>
        </w:rPr>
        <w:t>结合目前机构改革工作的要求，农田水利建设项目将划转农业农村部门，下一步水利部门将配合做好农业水价综合改革工作，并加强农业灌溉工程运行管护，提高灌溉水有效利用系数。规划实施的项目主要</w:t>
      </w:r>
      <w:r>
        <w:rPr>
          <w:rFonts w:hint="eastAsia" w:eastAsia="宋体"/>
          <w:sz w:val="28"/>
          <w:szCs w:val="28"/>
          <w:lang w:val="en-US" w:eastAsia="zh-CN"/>
        </w:rPr>
        <w:t>为任庄水库灌区续建配套与节水改造工程</w:t>
      </w:r>
      <w:r>
        <w:rPr>
          <w:rFonts w:eastAsia="宋体"/>
          <w:sz w:val="28"/>
          <w:szCs w:val="28"/>
        </w:rPr>
        <w:t>。</w:t>
      </w:r>
    </w:p>
    <w:p w14:paraId="7A7E9EFD">
      <w:pPr>
        <w:spacing w:line="580" w:lineRule="exact"/>
        <w:ind w:firstLine="560"/>
        <w:rPr>
          <w:rFonts w:hint="default" w:eastAsia="宋体"/>
          <w:sz w:val="28"/>
          <w:szCs w:val="28"/>
          <w:lang w:val="en-US" w:eastAsia="zh-CN"/>
        </w:rPr>
      </w:pPr>
      <w:r>
        <w:rPr>
          <w:rFonts w:hint="default" w:eastAsia="宋体"/>
          <w:sz w:val="28"/>
          <w:szCs w:val="28"/>
          <w:lang w:val="en-US" w:eastAsia="zh-CN"/>
        </w:rPr>
        <w:t>根据</w:t>
      </w:r>
      <w:r>
        <w:rPr>
          <w:rFonts w:hint="eastAsia" w:eastAsia="宋体"/>
          <w:sz w:val="28"/>
          <w:szCs w:val="28"/>
          <w:lang w:val="en-US" w:eastAsia="zh-CN"/>
        </w:rPr>
        <w:t>泽州</w:t>
      </w:r>
      <w:r>
        <w:rPr>
          <w:rFonts w:hint="default" w:eastAsia="宋体"/>
          <w:sz w:val="28"/>
          <w:szCs w:val="28"/>
          <w:lang w:val="en-US" w:eastAsia="zh-CN"/>
        </w:rPr>
        <w:t>灌区现状及灌区内耕地现状需求，</w:t>
      </w:r>
      <w:r>
        <w:rPr>
          <w:rFonts w:hint="eastAsia" w:eastAsia="宋体"/>
          <w:sz w:val="28"/>
          <w:szCs w:val="28"/>
          <w:lang w:val="en-US" w:eastAsia="zh-CN"/>
        </w:rPr>
        <w:t>泽州县仅任庄灌区一处中型灌区，泽州县任庄</w:t>
      </w:r>
      <w:r>
        <w:rPr>
          <w:rFonts w:hint="default" w:eastAsia="宋体"/>
          <w:sz w:val="28"/>
          <w:szCs w:val="28"/>
          <w:lang w:val="en-US" w:eastAsia="zh-CN"/>
        </w:rPr>
        <w:t>灌区续建配套与节水改造工程范围为泽州县高都镇内沙河自然村、麻峪村、东山底村、桃元自然村、善获村、漳东村、伏堂自然村、东刘庄村等8个村庄（东干渠片区）12511.5亩耕地以及连元自然村、沟北自然村、原河村、西党庄村、东党庄自然村、黄家自然村等6个村庄（连元片区）5002.5亩耕地，共计为14个村庄17514亩耕地</w:t>
      </w:r>
      <w:r>
        <w:rPr>
          <w:rFonts w:hint="eastAsia" w:eastAsia="宋体"/>
          <w:sz w:val="28"/>
          <w:szCs w:val="28"/>
          <w:lang w:val="en-US" w:eastAsia="zh-CN"/>
        </w:rPr>
        <w:t>：</w:t>
      </w:r>
      <w:r>
        <w:rPr>
          <w:rFonts w:hint="default" w:eastAsia="宋体"/>
          <w:sz w:val="28"/>
          <w:szCs w:val="28"/>
          <w:lang w:val="en-US" w:eastAsia="zh-CN"/>
        </w:rPr>
        <w:t>其中恢复改善面积为12511.5亩（东干渠片区），新增面积为5002.5亩（连元片区）。</w:t>
      </w:r>
    </w:p>
    <w:p w14:paraId="6FF5B16A">
      <w:pPr>
        <w:spacing w:line="580" w:lineRule="exact"/>
        <w:ind w:firstLine="560"/>
        <w:rPr>
          <w:rFonts w:hint="default" w:eastAsia="宋体"/>
          <w:sz w:val="28"/>
          <w:szCs w:val="28"/>
          <w:lang w:val="en-US" w:eastAsia="zh-CN"/>
        </w:rPr>
      </w:pPr>
      <w:r>
        <w:rPr>
          <w:rFonts w:hint="default" w:eastAsia="宋体"/>
          <w:sz w:val="28"/>
          <w:szCs w:val="28"/>
          <w:lang w:val="en-US" w:eastAsia="zh-CN"/>
        </w:rPr>
        <w:t>工程灌溉设计保证率为75%，年需水量246.59万m3，分为东干渠、连元大片区，其中东干渠片区需水量176.40万m3，连元片区需水量70.19万m</w:t>
      </w:r>
      <w:r>
        <w:rPr>
          <w:rFonts w:hint="default" w:eastAsia="宋体"/>
          <w:sz w:val="28"/>
          <w:szCs w:val="28"/>
          <w:vertAlign w:val="superscript"/>
          <w:lang w:val="en-US" w:eastAsia="zh-CN"/>
        </w:rPr>
        <w:t>3</w:t>
      </w:r>
      <w:r>
        <w:rPr>
          <w:rFonts w:hint="default" w:eastAsia="宋体"/>
          <w:sz w:val="28"/>
          <w:szCs w:val="28"/>
          <w:lang w:val="en-US" w:eastAsia="zh-CN"/>
        </w:rPr>
        <w:t>。工程总灌溉面积为17514亩，恢复改善面积为12511.5亩，新增面积为5002.5亩，计划发展管灌16269亩，喷灌1245亩，涉及村庄数量14个。</w:t>
      </w:r>
    </w:p>
    <w:p w14:paraId="5A770B2E">
      <w:pPr>
        <w:numPr>
          <w:ilvl w:val="0"/>
          <w:numId w:val="0"/>
        </w:numPr>
        <w:spacing w:line="580" w:lineRule="exact"/>
        <w:ind w:firstLine="560" w:firstLineChars="200"/>
        <w:rPr>
          <w:rFonts w:hint="default" w:eastAsia="宋体"/>
          <w:sz w:val="28"/>
          <w:szCs w:val="28"/>
          <w:highlight w:val="yellow"/>
          <w:lang w:val="en-US" w:eastAsia="zh-CN"/>
        </w:rPr>
      </w:pPr>
      <w:r>
        <w:rPr>
          <w:rFonts w:hint="eastAsia" w:ascii="Times New Roman" w:hAnsi="Times New Roman" w:eastAsia="宋体" w:cs="Times New Roman"/>
          <w:kern w:val="2"/>
          <w:sz w:val="28"/>
          <w:szCs w:val="28"/>
          <w:highlight w:val="none"/>
          <w:lang w:val="en-US" w:eastAsia="zh-CN" w:bidi="ar-SA"/>
        </w:rPr>
        <w:t>（2）</w:t>
      </w:r>
      <w:r>
        <w:rPr>
          <w:rFonts w:hint="eastAsia" w:eastAsia="宋体"/>
          <w:sz w:val="28"/>
          <w:szCs w:val="28"/>
          <w:highlight w:val="none"/>
          <w:lang w:val="en-US" w:eastAsia="zh-CN"/>
        </w:rPr>
        <w:t>管理范围：工程占地主要以提水泵站、调蓄水池、前池、管道沿线阀门井等。工程永久性占地0.0024km</w:t>
      </w:r>
      <w:r>
        <w:rPr>
          <w:rFonts w:hint="eastAsia" w:eastAsia="宋体"/>
          <w:sz w:val="28"/>
          <w:szCs w:val="28"/>
          <w:highlight w:val="none"/>
          <w:vertAlign w:val="superscript"/>
          <w:lang w:val="en-US" w:eastAsia="zh-CN"/>
        </w:rPr>
        <w:t>2</w:t>
      </w:r>
      <w:r>
        <w:rPr>
          <w:rFonts w:hint="eastAsia" w:eastAsia="宋体"/>
          <w:sz w:val="28"/>
          <w:szCs w:val="28"/>
          <w:highlight w:val="none"/>
          <w:lang w:val="en-US" w:eastAsia="zh-CN"/>
        </w:rPr>
        <w:t>。</w:t>
      </w:r>
    </w:p>
    <w:p w14:paraId="2A922892">
      <w:pPr>
        <w:pStyle w:val="6"/>
      </w:pPr>
      <w:r>
        <w:rPr>
          <w:rFonts w:hint="eastAsia"/>
          <w:lang w:val="en-US" w:eastAsia="zh-CN"/>
        </w:rPr>
        <w:t>7.2.4</w:t>
      </w:r>
      <w:r>
        <w:t>水生态修复工程</w:t>
      </w:r>
      <w:bookmarkEnd w:id="143"/>
    </w:p>
    <w:p w14:paraId="0DF668A3">
      <w:pPr>
        <w:spacing w:line="580" w:lineRule="exact"/>
        <w:ind w:left="160" w:leftChars="50" w:right="160" w:rightChars="50" w:firstLine="562"/>
        <w:jc w:val="left"/>
        <w:rPr>
          <w:rFonts w:eastAsia="宋体"/>
          <w:b/>
          <w:sz w:val="28"/>
          <w:szCs w:val="28"/>
        </w:rPr>
      </w:pPr>
      <w:bookmarkStart w:id="144" w:name="_Toc36060131"/>
      <w:r>
        <w:rPr>
          <w:rFonts w:eastAsia="宋体"/>
          <w:b/>
          <w:sz w:val="28"/>
          <w:szCs w:val="28"/>
        </w:rPr>
        <w:t>1）生态保护修复</w:t>
      </w:r>
    </w:p>
    <w:p w14:paraId="04BFC0CE">
      <w:pPr>
        <w:spacing w:line="580" w:lineRule="exact"/>
        <w:ind w:left="160" w:leftChars="50" w:right="160" w:rightChars="50" w:firstLine="560"/>
        <w:jc w:val="left"/>
        <w:rPr>
          <w:rFonts w:hint="eastAsia" w:ascii="宋体" w:hAnsi="宋体" w:eastAsia="宋体" w:cs="宋体"/>
          <w:sz w:val="28"/>
          <w:szCs w:val="28"/>
          <w:lang w:eastAsia="zh-CN"/>
        </w:rPr>
      </w:pPr>
      <w:r>
        <w:rPr>
          <w:rFonts w:hint="eastAsia" w:ascii="宋体" w:hAnsi="宋体" w:eastAsia="宋体" w:cs="宋体"/>
          <w:sz w:val="28"/>
          <w:szCs w:val="28"/>
          <w:lang w:eastAsia="zh-CN"/>
        </w:rPr>
        <w:t>按照“</w:t>
      </w:r>
      <w:r>
        <w:rPr>
          <w:rFonts w:hint="eastAsia" w:ascii="宋体" w:hAnsi="宋体" w:eastAsia="宋体" w:cs="宋体"/>
          <w:sz w:val="28"/>
          <w:szCs w:val="28"/>
          <w:lang w:val="en-US" w:eastAsia="zh-CN"/>
        </w:rPr>
        <w:t>一屏两廊、一城三带</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的</w:t>
      </w:r>
      <w:r>
        <w:rPr>
          <w:rFonts w:hint="eastAsia" w:ascii="宋体" w:hAnsi="宋体" w:eastAsia="宋体" w:cs="宋体"/>
          <w:sz w:val="28"/>
          <w:szCs w:val="28"/>
          <w:lang w:eastAsia="zh-CN"/>
        </w:rPr>
        <w:t>生态保护格局，在全县范围内大力开展生态修复与保护工程，全面提升水生态环境治理修复能力。开展水土流失和水源涵养综合治理，着重加强水土保持和生物多样性等功能；全面加强林草资源保护，加快生态治理和植被恢复，构建“山青、水净、村美、民富”的水土流失综合防治体系。</w:t>
      </w:r>
      <w:r>
        <w:rPr>
          <w:rFonts w:hint="eastAsia" w:ascii="宋体" w:hAnsi="宋体" w:eastAsia="宋体" w:cs="宋体"/>
          <w:sz w:val="28"/>
          <w:szCs w:val="28"/>
          <w:lang w:val="en-US" w:eastAsia="zh-CN"/>
        </w:rPr>
        <w:t>泽州县</w:t>
      </w:r>
      <w:r>
        <w:rPr>
          <w:rFonts w:hint="eastAsia" w:ascii="宋体" w:hAnsi="宋体" w:eastAsia="宋体" w:cs="宋体"/>
          <w:sz w:val="28"/>
          <w:szCs w:val="28"/>
          <w:lang w:eastAsia="zh-CN"/>
        </w:rPr>
        <w:t>以丹河流域水生态修复与保护为主，结合水库库区治理、地下水超采治理和水土保持。加强丹河、</w:t>
      </w:r>
      <w:r>
        <w:rPr>
          <w:rFonts w:hint="eastAsia" w:ascii="宋体" w:hAnsi="宋体" w:eastAsia="宋体" w:cs="宋体"/>
          <w:sz w:val="28"/>
          <w:szCs w:val="28"/>
          <w:lang w:val="en-US" w:eastAsia="zh-CN"/>
        </w:rPr>
        <w:t>东大河、巴公河等10条流域面积50km</w:t>
      </w:r>
      <w:r>
        <w:rPr>
          <w:rFonts w:hint="eastAsia" w:ascii="宋体" w:hAnsi="宋体" w:eastAsia="宋体" w:cs="宋体"/>
          <w:sz w:val="28"/>
          <w:szCs w:val="28"/>
          <w:vertAlign w:val="superscript"/>
          <w:lang w:val="en-US" w:eastAsia="zh-CN"/>
        </w:rPr>
        <w:t>2</w:t>
      </w:r>
      <w:r>
        <w:rPr>
          <w:rFonts w:hint="eastAsia" w:ascii="宋体" w:hAnsi="宋体" w:eastAsia="宋体" w:cs="宋体"/>
          <w:sz w:val="28"/>
          <w:szCs w:val="28"/>
          <w:lang w:val="en-US" w:eastAsia="zh-CN"/>
        </w:rPr>
        <w:t>以上</w:t>
      </w:r>
      <w:r>
        <w:rPr>
          <w:rFonts w:hint="eastAsia" w:ascii="宋体" w:hAnsi="宋体" w:eastAsia="宋体" w:cs="宋体"/>
          <w:sz w:val="28"/>
          <w:szCs w:val="28"/>
          <w:lang w:eastAsia="zh-CN"/>
        </w:rPr>
        <w:t>河流的生态流量保障，通过加强生态调度和强化河湖长制管理，来保障河流的生态流量。推进以丹河为重点的沿河村庄环境整治、湿地公园和滨水绿道建设；开展水体污染治理，提高水源涵养和水质净化等生态功能，布置湿地公园等生态节点，形成连通山水、功能复合的蓝绿生态廊道。全面开展岩溶泉生态保护与修复，统筹协调规划岩溶大泉保护与地下水超采区治理，重点实施三姑泉域水源置换工程、煤矿限采禁采、污染源综合治理、废井及废弃钻孔封堵、人工湿地建设等措施，遏制泉水衰减和水质恶化，促使地下岩溶水资源的合理开发与可持续利用。通过水美乡村和水文化景观建设与乡村振兴战略有机结合，助推水文化传承与发展，提升水文化软实力，加快区域经济的全面协调可持续发展。</w:t>
      </w:r>
    </w:p>
    <w:p w14:paraId="3800C2FD">
      <w:pPr>
        <w:spacing w:line="580" w:lineRule="exact"/>
        <w:ind w:left="160" w:leftChars="50" w:right="160" w:rightChars="50" w:firstLine="560"/>
        <w:jc w:val="left"/>
        <w:rPr>
          <w:rFonts w:hint="default" w:eastAsia="宋体"/>
          <w:kern w:val="0"/>
          <w:sz w:val="28"/>
          <w:szCs w:val="28"/>
          <w:lang w:val="en-US" w:eastAsia="zh-CN"/>
        </w:rPr>
      </w:pPr>
      <w:r>
        <w:rPr>
          <w:rFonts w:hint="eastAsia" w:ascii="宋体" w:hAnsi="宋体" w:eastAsia="宋体" w:cs="宋体"/>
          <w:sz w:val="28"/>
          <w:szCs w:val="28"/>
          <w:lang w:val="en-US" w:eastAsia="zh-CN"/>
        </w:rPr>
        <w:t>主要项目有</w:t>
      </w:r>
      <w:r>
        <w:rPr>
          <w:rFonts w:hint="eastAsia" w:eastAsia="宋体"/>
          <w:sz w:val="28"/>
          <w:szCs w:val="28"/>
          <w:lang w:val="en-US" w:eastAsia="zh-CN"/>
        </w:rPr>
        <w:t>主要包括</w:t>
      </w:r>
      <w:r>
        <w:rPr>
          <w:rFonts w:hint="eastAsia" w:eastAsia="宋体"/>
          <w:kern w:val="0"/>
          <w:sz w:val="28"/>
          <w:szCs w:val="28"/>
          <w:lang w:val="en-US" w:eastAsia="zh-CN"/>
        </w:rPr>
        <w:t>丹河、北石店河、巴公河、长河生态修复治理工程，各项工程占地范围均处于河道治导线范围内，本次不进行重新统计。</w:t>
      </w:r>
    </w:p>
    <w:p w14:paraId="56C763C5">
      <w:pPr>
        <w:spacing w:line="580" w:lineRule="exact"/>
        <w:ind w:left="160" w:leftChars="50" w:right="160" w:rightChars="50" w:firstLine="562"/>
        <w:jc w:val="left"/>
        <w:rPr>
          <w:rFonts w:eastAsia="宋体"/>
          <w:b/>
          <w:sz w:val="28"/>
          <w:szCs w:val="28"/>
        </w:rPr>
      </w:pPr>
      <w:r>
        <w:rPr>
          <w:rFonts w:eastAsia="宋体"/>
          <w:b/>
          <w:sz w:val="28"/>
          <w:szCs w:val="28"/>
        </w:rPr>
        <w:t>3）湿地保护修复</w:t>
      </w:r>
    </w:p>
    <w:p w14:paraId="576F509C">
      <w:pPr>
        <w:spacing w:line="580" w:lineRule="exact"/>
        <w:ind w:left="160" w:leftChars="50" w:right="160" w:rightChars="50" w:firstLine="560"/>
        <w:jc w:val="left"/>
        <w:rPr>
          <w:rFonts w:hint="default" w:eastAsia="宋体"/>
          <w:sz w:val="28"/>
          <w:szCs w:val="28"/>
          <w:lang w:val="en-US" w:eastAsia="zh-CN"/>
        </w:rPr>
      </w:pPr>
      <w:r>
        <w:rPr>
          <w:rFonts w:eastAsia="宋体"/>
          <w:sz w:val="28"/>
          <w:szCs w:val="28"/>
        </w:rPr>
        <w:t>完善制度建设，采取工程技术措施和生物技术措施，开展湿地修复</w:t>
      </w:r>
      <w:r>
        <w:rPr>
          <w:rFonts w:hint="eastAsia" w:eastAsia="宋体"/>
          <w:sz w:val="28"/>
          <w:szCs w:val="28"/>
          <w:lang w:eastAsia="zh-CN"/>
        </w:rPr>
        <w:t>，</w:t>
      </w:r>
      <w:r>
        <w:rPr>
          <w:rFonts w:hint="eastAsia" w:eastAsia="宋体"/>
          <w:sz w:val="28"/>
          <w:szCs w:val="28"/>
          <w:lang w:val="en-US" w:eastAsia="zh-CN"/>
        </w:rPr>
        <w:t>本项工程无新增占地。</w:t>
      </w:r>
    </w:p>
    <w:p w14:paraId="617359E8">
      <w:pPr>
        <w:spacing w:line="580" w:lineRule="exact"/>
        <w:ind w:left="160" w:leftChars="50" w:right="160" w:rightChars="50" w:firstLine="562"/>
        <w:jc w:val="left"/>
        <w:rPr>
          <w:rFonts w:eastAsia="宋体"/>
          <w:b/>
          <w:sz w:val="28"/>
          <w:szCs w:val="28"/>
        </w:rPr>
      </w:pPr>
      <w:r>
        <w:rPr>
          <w:rFonts w:eastAsia="宋体"/>
          <w:b/>
          <w:sz w:val="28"/>
          <w:szCs w:val="28"/>
        </w:rPr>
        <w:t>4）岩溶大泉保护修复</w:t>
      </w:r>
    </w:p>
    <w:p w14:paraId="26F5D2E6">
      <w:pPr>
        <w:spacing w:line="580" w:lineRule="exact"/>
        <w:ind w:left="160" w:leftChars="50" w:right="160" w:rightChars="50" w:firstLine="560"/>
        <w:jc w:val="left"/>
        <w:rPr>
          <w:rFonts w:hint="default" w:eastAsia="宋体"/>
          <w:sz w:val="28"/>
          <w:szCs w:val="28"/>
          <w:lang w:val="en-US" w:eastAsia="zh-CN"/>
        </w:rPr>
      </w:pPr>
      <w:r>
        <w:rPr>
          <w:rFonts w:eastAsia="宋体"/>
          <w:sz w:val="28"/>
          <w:szCs w:val="28"/>
        </w:rPr>
        <w:t>对</w:t>
      </w:r>
      <w:r>
        <w:rPr>
          <w:rFonts w:hint="eastAsia" w:eastAsia="宋体"/>
          <w:sz w:val="28"/>
          <w:szCs w:val="28"/>
          <w:lang w:val="en-US" w:eastAsia="zh-CN"/>
        </w:rPr>
        <w:t>三姑泉域</w:t>
      </w:r>
      <w:r>
        <w:rPr>
          <w:rFonts w:eastAsia="宋体"/>
          <w:sz w:val="28"/>
          <w:szCs w:val="28"/>
        </w:rPr>
        <w:t>实施岩溶大泉生态保护修复工程</w:t>
      </w:r>
      <w:r>
        <w:rPr>
          <w:rFonts w:hint="eastAsia" w:eastAsia="宋体"/>
          <w:sz w:val="28"/>
          <w:szCs w:val="28"/>
          <w:lang w:eastAsia="zh-CN"/>
        </w:rPr>
        <w:t>，</w:t>
      </w:r>
      <w:r>
        <w:rPr>
          <w:rFonts w:hint="eastAsia" w:eastAsia="宋体"/>
          <w:sz w:val="28"/>
          <w:szCs w:val="28"/>
          <w:lang w:val="en-US" w:eastAsia="zh-CN"/>
        </w:rPr>
        <w:t>占地范围处于三姑泉占地范围内，在此不进行重新统计。</w:t>
      </w:r>
    </w:p>
    <w:p w14:paraId="648168FE">
      <w:pPr>
        <w:spacing w:line="580" w:lineRule="exact"/>
        <w:ind w:left="160" w:leftChars="50" w:right="160" w:rightChars="50" w:firstLine="562"/>
        <w:jc w:val="left"/>
        <w:rPr>
          <w:rFonts w:eastAsia="宋体"/>
          <w:b/>
          <w:sz w:val="28"/>
          <w:szCs w:val="28"/>
        </w:rPr>
      </w:pPr>
      <w:r>
        <w:rPr>
          <w:rFonts w:hint="eastAsia" w:eastAsia="宋体"/>
          <w:b/>
          <w:sz w:val="28"/>
          <w:szCs w:val="28"/>
          <w:lang w:val="en-US" w:eastAsia="zh-CN"/>
        </w:rPr>
        <w:t>5</w:t>
      </w:r>
      <w:r>
        <w:rPr>
          <w:rFonts w:eastAsia="宋体"/>
          <w:b/>
          <w:sz w:val="28"/>
          <w:szCs w:val="28"/>
        </w:rPr>
        <w:t>）地下水超采区综合治理</w:t>
      </w:r>
    </w:p>
    <w:p w14:paraId="45112D85">
      <w:pPr>
        <w:spacing w:line="580" w:lineRule="exact"/>
        <w:ind w:left="160" w:leftChars="50" w:right="160" w:rightChars="50" w:firstLine="560"/>
        <w:jc w:val="left"/>
        <w:rPr>
          <w:rFonts w:eastAsia="宋体"/>
          <w:sz w:val="28"/>
          <w:szCs w:val="28"/>
        </w:rPr>
      </w:pPr>
      <w:r>
        <w:rPr>
          <w:rFonts w:eastAsia="宋体"/>
          <w:sz w:val="28"/>
          <w:szCs w:val="28"/>
        </w:rPr>
        <w:t>在地下水超采区建设水源置换工程，压减地下水开采量，完善地下水监测站网。</w:t>
      </w:r>
    </w:p>
    <w:bookmarkEnd w:id="144"/>
    <w:p w14:paraId="3D838DE4">
      <w:pPr>
        <w:pStyle w:val="5"/>
      </w:pPr>
      <w:bookmarkStart w:id="145" w:name="_Toc30515"/>
      <w:r>
        <w:rPr>
          <w:rFonts w:hint="eastAsia"/>
          <w:lang w:val="en-US" w:eastAsia="zh-CN"/>
        </w:rPr>
        <w:t>7.3“</w:t>
      </w:r>
      <w:r>
        <w:t>十四五</w:t>
      </w:r>
      <w:r>
        <w:rPr>
          <w:rFonts w:hint="eastAsia"/>
          <w:lang w:val="en-US" w:eastAsia="zh-CN"/>
        </w:rPr>
        <w:t>”</w:t>
      </w:r>
      <w:r>
        <w:t>规划重点水利基础设施用地安排</w:t>
      </w:r>
      <w:bookmarkEnd w:id="145"/>
    </w:p>
    <w:p w14:paraId="6C8D572F">
      <w:pPr>
        <w:adjustRightInd/>
        <w:snapToGrid/>
        <w:spacing w:line="580" w:lineRule="exact"/>
        <w:ind w:firstLine="560"/>
        <w:rPr>
          <w:rFonts w:eastAsia="宋体"/>
          <w:sz w:val="28"/>
          <w:szCs w:val="28"/>
        </w:rPr>
      </w:pPr>
      <w:r>
        <w:rPr>
          <w:rFonts w:eastAsia="宋体"/>
          <w:sz w:val="28"/>
          <w:szCs w:val="28"/>
        </w:rPr>
        <w:t>以</w:t>
      </w:r>
      <w:r>
        <w:rPr>
          <w:rFonts w:hint="eastAsia" w:eastAsia="宋体"/>
          <w:sz w:val="28"/>
          <w:szCs w:val="28"/>
          <w:lang w:eastAsia="zh-CN"/>
        </w:rPr>
        <w:t>沁丹河</w:t>
      </w:r>
      <w:r>
        <w:rPr>
          <w:rFonts w:eastAsia="宋体"/>
          <w:sz w:val="28"/>
          <w:szCs w:val="28"/>
        </w:rPr>
        <w:t>为重点的“</w:t>
      </w:r>
      <w:r>
        <w:rPr>
          <w:rFonts w:hint="eastAsia" w:eastAsia="宋体"/>
          <w:sz w:val="28"/>
          <w:szCs w:val="28"/>
          <w:lang w:eastAsia="zh-CN"/>
        </w:rPr>
        <w:t>两</w:t>
      </w:r>
      <w:r>
        <w:rPr>
          <w:rFonts w:eastAsia="宋体"/>
          <w:sz w:val="28"/>
          <w:szCs w:val="28"/>
        </w:rPr>
        <w:t>河”流域生态保护与修复项目，</w:t>
      </w:r>
      <w:r>
        <w:rPr>
          <w:rFonts w:hint="eastAsia" w:eastAsia="宋体"/>
          <w:sz w:val="28"/>
          <w:szCs w:val="28"/>
          <w:lang w:eastAsia="zh-CN"/>
        </w:rPr>
        <w:t>沁丹河</w:t>
      </w:r>
      <w:r>
        <w:rPr>
          <w:rFonts w:eastAsia="宋体"/>
          <w:sz w:val="28"/>
          <w:szCs w:val="28"/>
        </w:rPr>
        <w:t>流域总面积占到全</w:t>
      </w:r>
      <w:r>
        <w:rPr>
          <w:rFonts w:hint="eastAsia" w:eastAsia="宋体"/>
          <w:sz w:val="28"/>
          <w:szCs w:val="28"/>
          <w:lang w:eastAsia="zh-CN"/>
        </w:rPr>
        <w:t>市国土面积</w:t>
      </w:r>
      <w:r>
        <w:rPr>
          <w:rFonts w:eastAsia="宋体"/>
          <w:sz w:val="28"/>
          <w:szCs w:val="28"/>
        </w:rPr>
        <w:t>的</w:t>
      </w:r>
      <w:r>
        <w:rPr>
          <w:rFonts w:hint="eastAsia" w:eastAsia="宋体"/>
          <w:sz w:val="28"/>
          <w:szCs w:val="28"/>
          <w:lang w:val="en-US" w:eastAsia="zh-CN"/>
        </w:rPr>
        <w:t>82</w:t>
      </w:r>
      <w:r>
        <w:rPr>
          <w:rFonts w:eastAsia="宋体"/>
          <w:sz w:val="28"/>
          <w:szCs w:val="28"/>
        </w:rPr>
        <w:t>%。“</w:t>
      </w:r>
      <w:r>
        <w:rPr>
          <w:rFonts w:hint="eastAsia" w:eastAsia="宋体"/>
          <w:sz w:val="28"/>
          <w:szCs w:val="28"/>
          <w:lang w:eastAsia="zh-CN"/>
        </w:rPr>
        <w:t>两</w:t>
      </w:r>
      <w:r>
        <w:rPr>
          <w:rFonts w:eastAsia="宋体"/>
          <w:sz w:val="28"/>
          <w:szCs w:val="28"/>
        </w:rPr>
        <w:t>河”流域生态保护与修复规划全部通过</w:t>
      </w:r>
      <w:r>
        <w:rPr>
          <w:rFonts w:hint="eastAsia" w:eastAsia="宋体"/>
          <w:sz w:val="28"/>
          <w:szCs w:val="28"/>
          <w:lang w:eastAsia="zh-CN"/>
        </w:rPr>
        <w:t>市</w:t>
      </w:r>
      <w:r>
        <w:rPr>
          <w:rFonts w:eastAsia="宋体"/>
          <w:sz w:val="28"/>
          <w:szCs w:val="28"/>
        </w:rPr>
        <w:t>政府批准</w:t>
      </w:r>
      <w:r>
        <w:rPr>
          <w:rFonts w:hint="eastAsia" w:eastAsia="宋体"/>
          <w:sz w:val="28"/>
          <w:szCs w:val="28"/>
          <w:lang w:eastAsia="zh-CN"/>
        </w:rPr>
        <w:t>，</w:t>
      </w:r>
      <w:r>
        <w:rPr>
          <w:rFonts w:eastAsia="宋体"/>
          <w:sz w:val="28"/>
          <w:szCs w:val="28"/>
        </w:rPr>
        <w:t>实施“</w:t>
      </w:r>
      <w:r>
        <w:rPr>
          <w:rFonts w:hint="eastAsia" w:eastAsia="宋体"/>
          <w:sz w:val="28"/>
          <w:szCs w:val="28"/>
          <w:lang w:eastAsia="zh-CN"/>
        </w:rPr>
        <w:t>两</w:t>
      </w:r>
      <w:r>
        <w:rPr>
          <w:rFonts w:eastAsia="宋体"/>
          <w:sz w:val="28"/>
          <w:szCs w:val="28"/>
        </w:rPr>
        <w:t>河”流域生态保护与修复项目，是贯彻落实习近平总书记视察山西“水量丰起来、水质好起来、风光美起来”重要指示和</w:t>
      </w:r>
      <w:r>
        <w:rPr>
          <w:rFonts w:hint="eastAsia" w:eastAsia="宋体"/>
          <w:sz w:val="28"/>
          <w:szCs w:val="28"/>
          <w:lang w:eastAsia="zh-CN"/>
        </w:rPr>
        <w:t>市</w:t>
      </w:r>
      <w:r>
        <w:rPr>
          <w:rFonts w:eastAsia="宋体"/>
          <w:sz w:val="28"/>
          <w:szCs w:val="28"/>
        </w:rPr>
        <w:t>委、</w:t>
      </w:r>
      <w:r>
        <w:rPr>
          <w:rFonts w:hint="eastAsia" w:eastAsia="宋体"/>
          <w:sz w:val="28"/>
          <w:szCs w:val="28"/>
          <w:lang w:eastAsia="zh-CN"/>
        </w:rPr>
        <w:t>市</w:t>
      </w:r>
      <w:r>
        <w:rPr>
          <w:rFonts w:eastAsia="宋体"/>
          <w:sz w:val="28"/>
          <w:szCs w:val="28"/>
        </w:rPr>
        <w:t>政府安排部署的具体实践，目前正在全力推进。</w:t>
      </w:r>
      <w:r>
        <w:rPr>
          <w:rFonts w:hint="eastAsia" w:eastAsia="宋体"/>
          <w:sz w:val="28"/>
          <w:szCs w:val="28"/>
          <w:lang w:eastAsia="zh-CN"/>
        </w:rPr>
        <w:t>由于部分</w:t>
      </w:r>
      <w:r>
        <w:rPr>
          <w:rFonts w:eastAsia="宋体"/>
          <w:sz w:val="28"/>
          <w:szCs w:val="28"/>
        </w:rPr>
        <w:t>项目尚处于规划阶段，占地面积暂无法确定。</w:t>
      </w:r>
    </w:p>
    <w:p w14:paraId="009B47D9">
      <w:pPr>
        <w:adjustRightInd/>
        <w:snapToGrid/>
        <w:spacing w:line="580" w:lineRule="exact"/>
        <w:ind w:firstLine="560"/>
        <w:rPr>
          <w:rFonts w:hint="default" w:eastAsia="宋体"/>
          <w:sz w:val="28"/>
          <w:szCs w:val="28"/>
          <w:lang w:val="en-US" w:eastAsia="zh-CN"/>
        </w:rPr>
      </w:pPr>
      <w:r>
        <w:rPr>
          <w:rFonts w:hint="eastAsia" w:eastAsia="宋体"/>
          <w:sz w:val="28"/>
          <w:szCs w:val="28"/>
          <w:lang w:val="en-US" w:eastAsia="zh-CN"/>
        </w:rPr>
        <w:t>根据规划，“十四五”规划重点工程为泽州县中北部供水工程，可研已经批复完成，根据规划，</w:t>
      </w:r>
      <w:r>
        <w:rPr>
          <w:rFonts w:hint="eastAsia" w:eastAsia="宋体"/>
          <w:sz w:val="28"/>
          <w:szCs w:val="28"/>
          <w:highlight w:val="none"/>
          <w:lang w:val="en-US" w:eastAsia="zh-CN"/>
        </w:rPr>
        <w:t>具体占地范围暂未确定，无法确定管理范围。</w:t>
      </w:r>
    </w:p>
    <w:p w14:paraId="5AAF788B">
      <w:pPr>
        <w:adjustRightInd/>
        <w:snapToGrid/>
        <w:spacing w:line="580" w:lineRule="exact"/>
        <w:ind w:firstLine="560"/>
        <w:rPr>
          <w:rFonts w:eastAsia="宋体"/>
          <w:sz w:val="28"/>
          <w:szCs w:val="28"/>
        </w:rPr>
      </w:pPr>
    </w:p>
    <w:p w14:paraId="576B9B6E">
      <w:pPr>
        <w:widowControl/>
        <w:adjustRightInd/>
        <w:snapToGrid/>
        <w:spacing w:line="240" w:lineRule="auto"/>
        <w:ind w:firstLine="0" w:firstLineChars="0"/>
        <w:jc w:val="left"/>
      </w:pPr>
      <w:bookmarkStart w:id="146" w:name="_Toc36060132"/>
      <w:r>
        <w:rPr>
          <w:bCs/>
        </w:rPr>
        <w:br w:type="page"/>
      </w:r>
    </w:p>
    <w:p w14:paraId="483A2177">
      <w:pPr>
        <w:pStyle w:val="4"/>
      </w:pPr>
      <w:bookmarkStart w:id="147" w:name="_Toc24391"/>
      <w:r>
        <w:rPr>
          <w:rFonts w:hint="eastAsia"/>
          <w:highlight w:val="none"/>
          <w:lang w:val="en-US" w:eastAsia="zh-CN"/>
        </w:rPr>
        <w:t>8</w:t>
      </w:r>
      <w:r>
        <w:rPr>
          <w:highlight w:val="none"/>
        </w:rPr>
        <w:t>涉水空间保护与修</w:t>
      </w:r>
      <w:r>
        <w:t>复</w:t>
      </w:r>
      <w:bookmarkEnd w:id="146"/>
      <w:bookmarkEnd w:id="147"/>
    </w:p>
    <w:p w14:paraId="15A164BF">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Ansi="宋体" w:eastAsia="宋体"/>
          <w:b w:val="0"/>
          <w:sz w:val="28"/>
          <w:szCs w:val="28"/>
        </w:rPr>
      </w:pPr>
      <w:r>
        <w:rPr>
          <w:rFonts w:hint="default" w:hAnsi="宋体" w:eastAsia="宋体"/>
          <w:b w:val="0"/>
          <w:sz w:val="28"/>
          <w:szCs w:val="28"/>
        </w:rPr>
        <w:t>山西省对于涉水空间生态保护与修复主要体现在“七河”流域生态修复之上。2018年中共山西省委下发关于印发《以汾河为重点的“七河”流域生态保护与修复总体方案》的通知（中共省委办公厅厅字【2018】54号）。通知阐述了《以汾河为重点的“七河”流域生态保护与修复总体方案》的重要意义及总体要求，提出六大创新机制，开展六大治理工程，建立三项保障措施。通知中还提出《汾河流域生态保护于修复目标任务及措施》及《“七河”流域概况及生态保护与修复目标任务》。</w:t>
      </w:r>
    </w:p>
    <w:p w14:paraId="7BFD4620">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Ansi="宋体" w:eastAsia="宋体"/>
          <w:b w:val="0"/>
          <w:sz w:val="28"/>
          <w:szCs w:val="28"/>
        </w:rPr>
      </w:pPr>
      <w:r>
        <w:rPr>
          <w:rFonts w:hint="default" w:hAnsi="宋体" w:eastAsia="宋体"/>
          <w:b w:val="0"/>
          <w:sz w:val="28"/>
          <w:szCs w:val="28"/>
        </w:rPr>
        <w:t>山西省“七河”流域总面积11.2万km</w:t>
      </w:r>
      <w:r>
        <w:rPr>
          <w:rFonts w:hint="default" w:hAnsi="宋体" w:eastAsia="宋体"/>
          <w:b w:val="0"/>
          <w:sz w:val="28"/>
          <w:szCs w:val="28"/>
          <w:vertAlign w:val="superscript"/>
        </w:rPr>
        <w:t>2</w:t>
      </w:r>
      <w:r>
        <w:rPr>
          <w:rFonts w:hint="default" w:hAnsi="宋体" w:eastAsia="宋体"/>
          <w:b w:val="0"/>
          <w:sz w:val="28"/>
          <w:szCs w:val="28"/>
        </w:rPr>
        <w:t>、占</w:t>
      </w:r>
      <w:r>
        <w:rPr>
          <w:rFonts w:hint="default" w:hAnsi="宋体" w:eastAsia="宋体"/>
          <w:b w:val="0"/>
          <w:sz w:val="28"/>
          <w:szCs w:val="28"/>
          <w:lang w:eastAsia="zh-CN"/>
        </w:rPr>
        <w:t>全县</w:t>
      </w:r>
      <w:r>
        <w:rPr>
          <w:rFonts w:hint="default" w:hAnsi="宋体" w:eastAsia="宋体"/>
          <w:b w:val="0"/>
          <w:sz w:val="28"/>
          <w:szCs w:val="28"/>
        </w:rPr>
        <w:t>的72%，其中汾河、沁河、涑水河属黄河流域，桑干河、滹沱河、漳河、大清河（位于雄安新区上游）属海河流域。“七河”流域生态环境既关系山西经济社会发展全局和人民福祉，又关系华北特别是京津冀地区生态环境的改善。20世纪80年代以来，“七河”流域生态环境遭到严重破坏，河流水质污染、地表水量减少、地下水位下降、岩溶大泉水量衰减、森林覆盖率低，已经成为制约</w:t>
      </w:r>
      <w:r>
        <w:rPr>
          <w:rFonts w:hint="default" w:hAnsi="宋体" w:eastAsia="宋体"/>
          <w:b w:val="0"/>
          <w:sz w:val="28"/>
          <w:szCs w:val="28"/>
          <w:lang w:eastAsia="zh-CN"/>
        </w:rPr>
        <w:t>我县</w:t>
      </w:r>
      <w:r>
        <w:rPr>
          <w:rFonts w:hint="default" w:hAnsi="宋体" w:eastAsia="宋体"/>
          <w:b w:val="0"/>
          <w:sz w:val="28"/>
          <w:szCs w:val="28"/>
        </w:rPr>
        <w:t>可持续发展的短板。实施“七河”流域生态保护与修复，是省委、省政府贯彻新发展理念、推进生态文明建设的重大决策，是从根本上改变三晋大地山川面貌，提供更多优质生态产品、满足人民日益增长的优美生态环境需要的重大举措，是支撑</w:t>
      </w:r>
      <w:r>
        <w:rPr>
          <w:rFonts w:hint="default" w:hAnsi="宋体" w:eastAsia="宋体"/>
          <w:b w:val="0"/>
          <w:sz w:val="28"/>
          <w:szCs w:val="28"/>
          <w:lang w:eastAsia="zh-CN"/>
        </w:rPr>
        <w:t>全县</w:t>
      </w:r>
      <w:r>
        <w:rPr>
          <w:rFonts w:hint="default" w:hAnsi="宋体" w:eastAsia="宋体"/>
          <w:b w:val="0"/>
          <w:sz w:val="28"/>
          <w:szCs w:val="28"/>
        </w:rPr>
        <w:t>经济转型发展和高质量发展的重大实践，对于推动绿色发展、建设美丽山西具有基础性、战略性、标志性意义。</w:t>
      </w:r>
    </w:p>
    <w:p w14:paraId="2A0F2D4F">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hAnsi="宋体" w:eastAsia="宋体"/>
          <w:b w:val="0"/>
          <w:sz w:val="28"/>
          <w:szCs w:val="28"/>
        </w:rPr>
      </w:pPr>
      <w:r>
        <w:rPr>
          <w:rFonts w:hint="default" w:hAnsi="宋体" w:eastAsia="宋体"/>
          <w:b w:val="0"/>
          <w:sz w:val="28"/>
          <w:szCs w:val="28"/>
        </w:rPr>
        <w:t>根据“七河”流域生态修复规划成果，七河流域内存在的主要问题体现在水资源过度开发利用、地表水径流持续减少、地下水超采、水土流失及河流污染、生物多样性降低等问题，并以问题为导向主要从河流水系生态修复、水源涵养区治理、水土流失治理及地下水超采方面开展治理。</w:t>
      </w:r>
    </w:p>
    <w:p w14:paraId="62ACD7A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 w:val="28"/>
          <w:szCs w:val="28"/>
          <w:lang w:eastAsia="zh-CN"/>
        </w:rPr>
      </w:pPr>
      <w:r>
        <w:rPr>
          <w:rFonts w:hint="eastAsia" w:eastAsia="宋体" w:cs="Times New Roman"/>
          <w:sz w:val="28"/>
          <w:szCs w:val="28"/>
          <w:lang w:val="en-US" w:eastAsia="zh-CN"/>
        </w:rPr>
        <w:t>新中国成立</w:t>
      </w:r>
      <w:r>
        <w:rPr>
          <w:rFonts w:ascii="Times New Roman" w:hAnsi="Times New Roman" w:eastAsia="宋体" w:cs="Times New Roman"/>
          <w:sz w:val="28"/>
          <w:szCs w:val="28"/>
        </w:rPr>
        <w:t>以来，</w:t>
      </w:r>
      <w:r>
        <w:rPr>
          <w:rFonts w:hint="eastAsia" w:eastAsia="宋体" w:cs="Times New Roman"/>
          <w:sz w:val="28"/>
          <w:szCs w:val="28"/>
          <w:lang w:val="en-US" w:eastAsia="zh-CN"/>
        </w:rPr>
        <w:t>丹</w:t>
      </w:r>
      <w:r>
        <w:rPr>
          <w:rFonts w:ascii="Times New Roman" w:hAnsi="Times New Roman" w:eastAsia="宋体" w:cs="Times New Roman"/>
          <w:sz w:val="28"/>
          <w:szCs w:val="28"/>
        </w:rPr>
        <w:t>河流域进行了大规模的治理开发建设，在供水、灌溉、防洪、水力发电、水土保持、生态保护等方面取得了较大的成就，为流域国民经济的发展起到了促进作用。但随着流域经济的快速发展，流域治理开发也带来诸多环境问题，突出表现为</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受自然条件和人类活动双重影响，</w:t>
      </w:r>
      <w:r>
        <w:rPr>
          <w:rFonts w:hint="eastAsia" w:eastAsia="宋体" w:cs="Times New Roman"/>
          <w:sz w:val="28"/>
          <w:szCs w:val="28"/>
          <w:lang w:val="en-US" w:eastAsia="zh-CN"/>
        </w:rPr>
        <w:t>丹</w:t>
      </w:r>
      <w:r>
        <w:rPr>
          <w:rFonts w:ascii="Times New Roman" w:hAnsi="Times New Roman" w:eastAsia="宋体" w:cs="Times New Roman"/>
          <w:sz w:val="28"/>
          <w:szCs w:val="28"/>
        </w:rPr>
        <w:t>河径流衰减明显</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污染物排放相对集中，部分河段水污染严重</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受地下水超采和采煤影响，地下水水位降低，水质恶化</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径流减少、水体污染，使得河流生态系统恶化</w:t>
      </w:r>
      <w:r>
        <w:rPr>
          <w:rFonts w:hint="eastAsia" w:ascii="Times New Roman" w:hAnsi="Times New Roman" w:eastAsia="宋体" w:cs="Times New Roman"/>
          <w:sz w:val="28"/>
          <w:szCs w:val="28"/>
          <w:lang w:eastAsia="zh-CN"/>
        </w:rPr>
        <w:t>。</w:t>
      </w:r>
      <w:r>
        <w:rPr>
          <w:rFonts w:ascii="Times New Roman" w:hAnsi="Times New Roman" w:eastAsia="宋体" w:cs="Times New Roman"/>
          <w:sz w:val="28"/>
          <w:szCs w:val="28"/>
        </w:rPr>
        <w:t>沁河流域治理开发建设，为流域经济社会发展起到了巨大促进作用，但也导致径流量减少、岩溶泉衰减、部分河段水污染严重、地下水超采区扩大、水生态环境系统恶化等诸多生态环境问题。针对</w:t>
      </w:r>
      <w:r>
        <w:rPr>
          <w:rFonts w:hint="eastAsia" w:eastAsia="宋体" w:cs="Times New Roman"/>
          <w:sz w:val="28"/>
          <w:szCs w:val="28"/>
          <w:lang w:val="en-US" w:eastAsia="zh-CN"/>
        </w:rPr>
        <w:t>丹</w:t>
      </w:r>
      <w:r>
        <w:rPr>
          <w:rFonts w:ascii="Times New Roman" w:hAnsi="Times New Roman" w:eastAsia="宋体" w:cs="Times New Roman"/>
          <w:sz w:val="28"/>
          <w:szCs w:val="28"/>
        </w:rPr>
        <w:t>河流域存在的有关问题，开展</w:t>
      </w:r>
      <w:r>
        <w:rPr>
          <w:rFonts w:hint="eastAsia" w:eastAsia="宋体" w:cs="Times New Roman"/>
          <w:sz w:val="28"/>
          <w:szCs w:val="28"/>
          <w:lang w:val="en-US" w:eastAsia="zh-CN"/>
        </w:rPr>
        <w:t>丹</w:t>
      </w:r>
      <w:r>
        <w:rPr>
          <w:rFonts w:ascii="Times New Roman" w:hAnsi="Times New Roman" w:eastAsia="宋体" w:cs="Times New Roman"/>
          <w:sz w:val="28"/>
          <w:szCs w:val="28"/>
        </w:rPr>
        <w:t>河流域生态修复和保护规划工作，按照新时期治水思路的要求，以水污染防治和水资源保护为重点，统筹自然生态多种要素，实施山水林田湖系统综合治理，为实现生态文明和经济社会全面协调可持续发展提供有力保障。因此，开展</w:t>
      </w:r>
      <w:r>
        <w:rPr>
          <w:rFonts w:hint="eastAsia" w:eastAsia="宋体" w:cs="Times New Roman"/>
          <w:sz w:val="28"/>
          <w:szCs w:val="28"/>
          <w:lang w:val="en-US" w:eastAsia="zh-CN"/>
        </w:rPr>
        <w:t>丹</w:t>
      </w:r>
      <w:r>
        <w:rPr>
          <w:rFonts w:ascii="Times New Roman" w:hAnsi="Times New Roman" w:eastAsia="宋体" w:cs="Times New Roman"/>
          <w:sz w:val="28"/>
          <w:szCs w:val="28"/>
        </w:rPr>
        <w:t>河流域生态修复和保护规划是非常必要和紧迫的</w:t>
      </w:r>
      <w:r>
        <w:rPr>
          <w:rFonts w:hint="eastAsia" w:ascii="Times New Roman" w:hAnsi="Times New Roman" w:eastAsia="宋体" w:cs="Times New Roman"/>
          <w:sz w:val="28"/>
          <w:szCs w:val="28"/>
          <w:lang w:eastAsia="zh-CN"/>
        </w:rPr>
        <w:t>。</w:t>
      </w:r>
    </w:p>
    <w:p w14:paraId="10DF2CD1">
      <w:pPr>
        <w:pStyle w:val="5"/>
      </w:pPr>
      <w:bookmarkStart w:id="148" w:name="_Toc8509"/>
      <w:bookmarkStart w:id="149" w:name="_Toc20229479"/>
      <w:bookmarkStart w:id="150" w:name="_Toc18595508"/>
      <w:bookmarkStart w:id="151" w:name="_Toc26878"/>
      <w:bookmarkStart w:id="152" w:name="_Toc22108746"/>
      <w:bookmarkStart w:id="153" w:name="_Toc24197"/>
      <w:bookmarkStart w:id="154" w:name="_Toc36060133"/>
      <w:r>
        <w:rPr>
          <w:rFonts w:hint="eastAsia"/>
          <w:lang w:val="en-US" w:eastAsia="zh-CN"/>
        </w:rPr>
        <w:t>8.1</w:t>
      </w:r>
      <w:r>
        <w:t>河流水系生态廊道</w:t>
      </w:r>
      <w:bookmarkEnd w:id="148"/>
      <w:bookmarkEnd w:id="149"/>
      <w:bookmarkEnd w:id="150"/>
      <w:bookmarkEnd w:id="151"/>
      <w:bookmarkEnd w:id="152"/>
      <w:r>
        <w:t>保护与修复</w:t>
      </w:r>
      <w:bookmarkEnd w:id="153"/>
      <w:bookmarkEnd w:id="154"/>
    </w:p>
    <w:p w14:paraId="4DE74D70">
      <w:pPr>
        <w:pStyle w:val="6"/>
      </w:pPr>
      <w:bookmarkStart w:id="155" w:name="_Toc36060134"/>
      <w:r>
        <w:rPr>
          <w:rFonts w:hint="eastAsia"/>
          <w:lang w:val="en-US" w:eastAsia="zh-CN"/>
        </w:rPr>
        <w:t>8.1.1</w:t>
      </w:r>
      <w:r>
        <w:t>生态保护与修复总体布局</w:t>
      </w:r>
      <w:bookmarkEnd w:id="155"/>
    </w:p>
    <w:p w14:paraId="33FBD4D9">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eastAsia="宋体"/>
          <w:b w:val="0"/>
          <w:snapToGrid w:val="0"/>
          <w:kern w:val="0"/>
          <w:sz w:val="28"/>
          <w:szCs w:val="28"/>
        </w:rPr>
      </w:pPr>
      <w:r>
        <w:rPr>
          <w:rFonts w:hint="eastAsia" w:hAnsi="宋体" w:eastAsia="宋体"/>
          <w:b w:val="0"/>
          <w:snapToGrid w:val="0"/>
          <w:kern w:val="0"/>
          <w:sz w:val="28"/>
          <w:szCs w:val="28"/>
          <w:lang w:eastAsia="zh-CN"/>
        </w:rPr>
        <w:t>根据《山西省沁（丹）河流域生态修复与保护规划（2017—2030年）》（晋城市人民政府、长治市人民政府、临汾市人民政府二○一七年五月），规划</w:t>
      </w:r>
      <w:r>
        <w:rPr>
          <w:rFonts w:hAnsi="宋体" w:eastAsia="宋体"/>
          <w:b w:val="0"/>
          <w:snapToGrid w:val="0"/>
          <w:kern w:val="0"/>
          <w:sz w:val="28"/>
          <w:szCs w:val="28"/>
        </w:rPr>
        <w:t>综合考虑各河段资源环境特点、经济社会发展要求、治理开发与保护的总体部署，提出</w:t>
      </w:r>
      <w:r>
        <w:rPr>
          <w:rFonts w:hint="eastAsia" w:hAnsi="宋体" w:eastAsia="宋体"/>
          <w:b w:val="0"/>
          <w:snapToGrid w:val="0"/>
          <w:kern w:val="0"/>
          <w:sz w:val="28"/>
          <w:szCs w:val="28"/>
          <w:lang w:val="en-US" w:eastAsia="zh-CN"/>
        </w:rPr>
        <w:t>丹</w:t>
      </w:r>
      <w:r>
        <w:rPr>
          <w:rFonts w:hAnsi="宋体" w:eastAsia="宋体"/>
          <w:b w:val="0"/>
          <w:snapToGrid w:val="0"/>
          <w:kern w:val="0"/>
          <w:sz w:val="28"/>
          <w:szCs w:val="28"/>
        </w:rPr>
        <w:t>河流域生态修复与保护规划的总体布局。</w:t>
      </w:r>
    </w:p>
    <w:p w14:paraId="417EF90B">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napToGrid w:val="0"/>
          <w:kern w:val="0"/>
          <w:sz w:val="28"/>
          <w:szCs w:val="28"/>
        </w:rPr>
        <w:t>（</w:t>
      </w:r>
      <w:r>
        <w:rPr>
          <w:rFonts w:eastAsia="宋体"/>
          <w:b w:val="0"/>
          <w:snapToGrid w:val="0"/>
          <w:kern w:val="0"/>
          <w:sz w:val="28"/>
          <w:szCs w:val="28"/>
        </w:rPr>
        <w:t>1</w:t>
      </w:r>
      <w:r>
        <w:rPr>
          <w:rFonts w:hAnsi="宋体" w:eastAsia="宋体"/>
          <w:b w:val="0"/>
          <w:snapToGrid w:val="0"/>
          <w:kern w:val="0"/>
          <w:sz w:val="28"/>
          <w:szCs w:val="28"/>
        </w:rPr>
        <w:t>）干支流源头、岩溶泉泉源区、沁河上游林区、</w:t>
      </w:r>
      <w:r>
        <w:rPr>
          <w:rFonts w:hAnsi="宋体" w:eastAsia="宋体"/>
          <w:b w:val="0"/>
          <w:sz w:val="28"/>
          <w:szCs w:val="28"/>
        </w:rPr>
        <w:t>自然保护区、国家森林公园及湿地公园等环境敏感区</w:t>
      </w:r>
      <w:r>
        <w:rPr>
          <w:rFonts w:hAnsi="宋体" w:eastAsia="宋体"/>
          <w:b w:val="0"/>
          <w:snapToGrid w:val="0"/>
          <w:kern w:val="0"/>
          <w:sz w:val="28"/>
          <w:szCs w:val="28"/>
        </w:rPr>
        <w:t>，</w:t>
      </w:r>
      <w:r>
        <w:rPr>
          <w:rFonts w:hAnsi="宋体" w:eastAsia="宋体"/>
          <w:b w:val="0"/>
          <w:sz w:val="28"/>
          <w:szCs w:val="28"/>
        </w:rPr>
        <w:t>以陆面植被保护和自然生态修复、保护为主，加强水土保持，进一步加强水源涵养。</w:t>
      </w:r>
    </w:p>
    <w:p w14:paraId="289251FC">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w:t>
      </w:r>
      <w:r>
        <w:rPr>
          <w:rFonts w:eastAsia="宋体"/>
          <w:b w:val="0"/>
          <w:sz w:val="28"/>
          <w:szCs w:val="28"/>
        </w:rPr>
        <w:t>2</w:t>
      </w:r>
      <w:r>
        <w:rPr>
          <w:rFonts w:hAnsi="宋体" w:eastAsia="宋体"/>
          <w:b w:val="0"/>
          <w:sz w:val="28"/>
          <w:szCs w:val="28"/>
        </w:rPr>
        <w:t>）</w:t>
      </w:r>
      <w:r>
        <w:rPr>
          <w:rFonts w:hint="eastAsia" w:hAnsi="宋体" w:eastAsia="宋体"/>
          <w:b w:val="0"/>
          <w:sz w:val="28"/>
          <w:szCs w:val="28"/>
          <w:lang w:val="en-US" w:eastAsia="zh-CN"/>
        </w:rPr>
        <w:t>丹</w:t>
      </w:r>
      <w:r>
        <w:rPr>
          <w:rFonts w:hAnsi="宋体" w:eastAsia="宋体"/>
          <w:b w:val="0"/>
          <w:sz w:val="28"/>
          <w:szCs w:val="28"/>
        </w:rPr>
        <w:t>河特有鱼类分布密集的河段，以水生生物栖息地保护功能为主，保证河道生态需水。</w:t>
      </w:r>
    </w:p>
    <w:p w14:paraId="46F6D4C2">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w:t>
      </w:r>
      <w:r>
        <w:rPr>
          <w:rFonts w:eastAsia="宋体"/>
          <w:b w:val="0"/>
          <w:sz w:val="28"/>
          <w:szCs w:val="28"/>
        </w:rPr>
        <w:t>3</w:t>
      </w:r>
      <w:r>
        <w:rPr>
          <w:rFonts w:hAnsi="宋体" w:eastAsia="宋体"/>
          <w:b w:val="0"/>
          <w:sz w:val="28"/>
          <w:szCs w:val="28"/>
        </w:rPr>
        <w:t>）农作物耕作、畜牧养殖相对集中区域，加强灌区农业面源的防控、控制畜禽养殖污染排放，实施农村清洁工程，开展河道清淤疏浚，推进农村环境连片整治。</w:t>
      </w:r>
    </w:p>
    <w:p w14:paraId="3EDBF546">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napToGrid w:val="0"/>
          <w:kern w:val="0"/>
          <w:sz w:val="28"/>
          <w:szCs w:val="28"/>
        </w:rPr>
        <w:t>（</w:t>
      </w:r>
      <w:r>
        <w:rPr>
          <w:rFonts w:eastAsia="宋体"/>
          <w:b w:val="0"/>
          <w:snapToGrid w:val="0"/>
          <w:kern w:val="0"/>
          <w:sz w:val="28"/>
          <w:szCs w:val="28"/>
        </w:rPr>
        <w:t>4</w:t>
      </w:r>
      <w:r>
        <w:rPr>
          <w:rFonts w:hAnsi="宋体" w:eastAsia="宋体"/>
          <w:b w:val="0"/>
          <w:snapToGrid w:val="0"/>
          <w:kern w:val="0"/>
          <w:sz w:val="28"/>
          <w:szCs w:val="28"/>
        </w:rPr>
        <w:t>）人口分布密集的</w:t>
      </w:r>
      <w:r>
        <w:rPr>
          <w:rFonts w:hAnsi="宋体" w:eastAsia="宋体"/>
          <w:b w:val="0"/>
          <w:sz w:val="28"/>
          <w:szCs w:val="28"/>
        </w:rPr>
        <w:t>城镇河段，完善污水处理厂管网配套，继续推进污水处理设施建设，提升城镇污水处理水平；开展河道整治，形成</w:t>
      </w:r>
      <w:r>
        <w:rPr>
          <w:rFonts w:eastAsia="宋体"/>
          <w:b w:val="0"/>
          <w:sz w:val="28"/>
          <w:szCs w:val="28"/>
        </w:rPr>
        <w:t>“</w:t>
      </w:r>
      <w:r>
        <w:rPr>
          <w:rFonts w:hAnsi="宋体" w:eastAsia="宋体"/>
          <w:b w:val="0"/>
          <w:sz w:val="28"/>
          <w:szCs w:val="28"/>
        </w:rPr>
        <w:t>珍珠状</w:t>
      </w:r>
      <w:r>
        <w:rPr>
          <w:rFonts w:eastAsia="宋体"/>
          <w:b w:val="0"/>
          <w:sz w:val="28"/>
          <w:szCs w:val="28"/>
        </w:rPr>
        <w:t>”</w:t>
      </w:r>
      <w:r>
        <w:rPr>
          <w:rFonts w:hAnsi="宋体" w:eastAsia="宋体"/>
          <w:b w:val="0"/>
          <w:sz w:val="28"/>
          <w:szCs w:val="28"/>
        </w:rPr>
        <w:t>水域和湿地，蓄滞洪水，增加地下水入渗补给，同时间接净化水质，改善人居环境。</w:t>
      </w:r>
    </w:p>
    <w:p w14:paraId="0E52C96A">
      <w:pPr>
        <w:keepNext w:val="0"/>
        <w:keepLines w:val="0"/>
        <w:pageBreakBefore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w:t>
      </w:r>
      <w:r>
        <w:rPr>
          <w:rFonts w:eastAsia="宋体"/>
          <w:b w:val="0"/>
          <w:sz w:val="28"/>
          <w:szCs w:val="28"/>
        </w:rPr>
        <w:t>5</w:t>
      </w:r>
      <w:r>
        <w:rPr>
          <w:rFonts w:hAnsi="宋体" w:eastAsia="宋体"/>
          <w:b w:val="0"/>
          <w:sz w:val="28"/>
          <w:szCs w:val="28"/>
        </w:rPr>
        <w:t>）</w:t>
      </w:r>
      <w:r>
        <w:rPr>
          <w:rFonts w:hAnsi="宋体" w:eastAsia="宋体"/>
          <w:b w:val="0"/>
          <w:snapToGrid w:val="0"/>
          <w:kern w:val="0"/>
          <w:sz w:val="28"/>
          <w:szCs w:val="28"/>
        </w:rPr>
        <w:t>经济集中和发达区，优化水资源配置，推进水源工程及地下水超采区水源置换工程建设；</w:t>
      </w:r>
      <w:r>
        <w:rPr>
          <w:rFonts w:hAnsi="宋体" w:eastAsia="宋体"/>
          <w:b w:val="0"/>
          <w:sz w:val="28"/>
          <w:szCs w:val="28"/>
        </w:rPr>
        <w:t>优化产业结构和布局，推进工业企业污染深度治理，提高再生水回用率，逐步实现工业园区废污水零排放。</w:t>
      </w:r>
    </w:p>
    <w:p w14:paraId="7ACD0D03">
      <w:pPr>
        <w:pStyle w:val="66"/>
        <w:keepNext w:val="0"/>
        <w:keepLines w:val="0"/>
        <w:pageBreakBefore w:val="0"/>
        <w:kinsoku/>
        <w:wordWrap/>
        <w:overflowPunct/>
        <w:topLinePunct w:val="0"/>
        <w:autoSpaceDE/>
        <w:autoSpaceDN/>
        <w:bidi w:val="0"/>
        <w:adjustRightInd w:val="0"/>
        <w:snapToGrid w:val="0"/>
        <w:spacing w:line="360" w:lineRule="auto"/>
        <w:ind w:firstLine="560"/>
        <w:textAlignment w:val="auto"/>
        <w:rPr>
          <w:rFonts w:cs="Times New Roman"/>
          <w:color w:val="auto"/>
        </w:rPr>
      </w:pPr>
      <w:r>
        <w:rPr>
          <w:rFonts w:hAnsi="宋体" w:eastAsia="宋体"/>
          <w:b w:val="0"/>
          <w:sz w:val="28"/>
          <w:szCs w:val="28"/>
        </w:rPr>
        <w:t>（</w:t>
      </w:r>
      <w:r>
        <w:rPr>
          <w:rFonts w:eastAsia="宋体"/>
          <w:b w:val="0"/>
          <w:sz w:val="28"/>
          <w:szCs w:val="28"/>
        </w:rPr>
        <w:t>6</w:t>
      </w:r>
      <w:r>
        <w:rPr>
          <w:rFonts w:hAnsi="宋体" w:eastAsia="宋体"/>
          <w:b w:val="0"/>
          <w:sz w:val="28"/>
          <w:szCs w:val="28"/>
        </w:rPr>
        <w:t>）地下水超采、受煤炭开采影响严重区域，以可开采量为控制，压减地下水开采量；合理确定</w:t>
      </w:r>
      <w:r>
        <w:rPr>
          <w:rFonts w:hint="eastAsia" w:hAnsi="宋体"/>
          <w:b w:val="0"/>
          <w:sz w:val="28"/>
          <w:szCs w:val="28"/>
          <w:lang w:val="en-US" w:eastAsia="zh-CN"/>
        </w:rPr>
        <w:t>煤炭</w:t>
      </w:r>
      <w:r>
        <w:rPr>
          <w:rFonts w:hAnsi="宋体" w:eastAsia="宋体"/>
          <w:b w:val="0"/>
          <w:sz w:val="28"/>
          <w:szCs w:val="28"/>
        </w:rPr>
        <w:t>开采规模，减缓</w:t>
      </w:r>
      <w:r>
        <w:rPr>
          <w:rFonts w:hint="eastAsia" w:hAnsi="宋体"/>
          <w:b w:val="0"/>
          <w:sz w:val="28"/>
          <w:szCs w:val="28"/>
          <w:lang w:val="en-US" w:eastAsia="zh-CN"/>
        </w:rPr>
        <w:t>煤炭</w:t>
      </w:r>
      <w:r>
        <w:rPr>
          <w:rFonts w:hAnsi="宋体" w:eastAsia="宋体"/>
          <w:b w:val="0"/>
          <w:sz w:val="28"/>
          <w:szCs w:val="28"/>
        </w:rPr>
        <w:t>开采对地下水的影响。</w:t>
      </w:r>
    </w:p>
    <w:p w14:paraId="5AB6939D">
      <w:pPr>
        <w:pStyle w:val="6"/>
      </w:pPr>
      <w:r>
        <w:rPr>
          <w:rFonts w:hint="eastAsia"/>
          <w:lang w:val="en-US" w:eastAsia="zh-CN"/>
        </w:rPr>
        <w:t>8.1.2</w:t>
      </w:r>
      <w:r>
        <w:t>生态保护与修复总体目标</w:t>
      </w:r>
    </w:p>
    <w:p w14:paraId="715DBFFA">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Cs w:val="22"/>
          <w:lang w:eastAsia="zh-CN"/>
        </w:rPr>
      </w:pPr>
      <w:r>
        <w:rPr>
          <w:rFonts w:hint="eastAsia" w:hAnsi="宋体" w:eastAsia="宋体"/>
          <w:b w:val="0"/>
          <w:sz w:val="28"/>
          <w:szCs w:val="28"/>
          <w:lang w:val="en-US" w:eastAsia="zh-CN"/>
        </w:rPr>
        <w:t>丹</w:t>
      </w:r>
      <w:r>
        <w:rPr>
          <w:rFonts w:hAnsi="宋体" w:eastAsia="宋体"/>
          <w:b w:val="0"/>
          <w:sz w:val="28"/>
          <w:szCs w:val="28"/>
        </w:rPr>
        <w:t>河生态修复与保护规划是以实现人水和谐与社会经济可持续发展为目标，以水资源高效配置、水污染防治和水生态修复为核心，防洪、排涝、供水、治污、河道治理、环境改善统筹兼顾，融合水安全、水环境、水景观、水文化、水经济的综合性规划。具体目标如下</w:t>
      </w:r>
      <w:r>
        <w:rPr>
          <w:rFonts w:hint="eastAsia" w:hAnsi="宋体" w:eastAsia="宋体"/>
          <w:b w:val="0"/>
          <w:sz w:val="28"/>
          <w:szCs w:val="28"/>
          <w:lang w:eastAsia="zh-CN"/>
        </w:rPr>
        <w:t>。</w:t>
      </w:r>
    </w:p>
    <w:p w14:paraId="082ACA85">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Cs w:val="22"/>
          <w:lang w:eastAsia="zh-CN"/>
        </w:rPr>
      </w:pPr>
      <w:r>
        <w:rPr>
          <w:rFonts w:ascii="Times New Roman" w:hAnsi="Times New Roman" w:eastAsia="宋体" w:cs="Times New Roman"/>
          <w:szCs w:val="22"/>
        </w:rPr>
        <w:t>（1）水资源</w:t>
      </w:r>
      <w:r>
        <w:rPr>
          <w:rFonts w:hint="eastAsia" w:ascii="Times New Roman" w:hAnsi="Times New Roman" w:eastAsia="宋体" w:cs="Times New Roman"/>
          <w:szCs w:val="22"/>
          <w:lang w:eastAsia="zh-CN"/>
        </w:rPr>
        <w:t>配置合理</w:t>
      </w:r>
    </w:p>
    <w:p w14:paraId="02569DD3">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Cs w:val="22"/>
        </w:rPr>
      </w:pPr>
      <w:r>
        <w:rPr>
          <w:rFonts w:hAnsi="宋体" w:eastAsia="宋体"/>
          <w:b w:val="0"/>
          <w:sz w:val="28"/>
          <w:szCs w:val="28"/>
        </w:rPr>
        <w:t>在用水总量控制的前提下，优化水资源配置，</w:t>
      </w:r>
      <w:r>
        <w:rPr>
          <w:rFonts w:hAnsi="宋体" w:eastAsia="宋体"/>
          <w:b w:val="0"/>
          <w:snapToGrid w:val="0"/>
          <w:kern w:val="0"/>
          <w:sz w:val="28"/>
          <w:szCs w:val="28"/>
        </w:rPr>
        <w:t>用好地表水、用足再生水、保护地下水，</w:t>
      </w:r>
      <w:r>
        <w:rPr>
          <w:rFonts w:hAnsi="宋体" w:eastAsia="宋体"/>
          <w:b w:val="0"/>
          <w:sz w:val="28"/>
          <w:szCs w:val="28"/>
        </w:rPr>
        <w:t>构建科学、合理、多水源联合调配的供水体系，在确保供水安全的同时，保证河流必要的生态用水</w:t>
      </w:r>
      <w:r>
        <w:rPr>
          <w:rFonts w:ascii="Times New Roman" w:hAnsi="Times New Roman" w:eastAsia="宋体" w:cs="Times New Roman"/>
          <w:szCs w:val="22"/>
        </w:rPr>
        <w:t>。</w:t>
      </w:r>
    </w:p>
    <w:p w14:paraId="5BB1FF22">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Cs w:val="22"/>
          <w:lang w:eastAsia="zh-CN"/>
        </w:rPr>
      </w:pPr>
      <w:r>
        <w:rPr>
          <w:rFonts w:ascii="Times New Roman" w:hAnsi="Times New Roman" w:eastAsia="宋体" w:cs="Times New Roman"/>
          <w:szCs w:val="22"/>
        </w:rPr>
        <w:t>（2）</w:t>
      </w:r>
      <w:r>
        <w:rPr>
          <w:rFonts w:hint="eastAsia" w:ascii="Times New Roman" w:hAnsi="Times New Roman" w:eastAsia="宋体" w:cs="Times New Roman"/>
          <w:szCs w:val="22"/>
          <w:lang w:eastAsia="zh-CN"/>
        </w:rPr>
        <w:t>水环境水生态逐步改善</w:t>
      </w:r>
    </w:p>
    <w:p w14:paraId="700CF38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饮用水源区水质全面达标，城镇污水处理系统逐步完善，严格控制废污水排放，提高再生水利用力度，主要水污染物排放总量和入河总量持续削减，</w:t>
      </w:r>
      <w:r>
        <w:rPr>
          <w:rFonts w:eastAsia="宋体"/>
          <w:b w:val="0"/>
          <w:sz w:val="28"/>
          <w:szCs w:val="28"/>
        </w:rPr>
        <w:t>2030</w:t>
      </w:r>
      <w:r>
        <w:rPr>
          <w:rFonts w:hAnsi="宋体" w:eastAsia="宋体"/>
          <w:b w:val="0"/>
          <w:sz w:val="28"/>
          <w:szCs w:val="28"/>
        </w:rPr>
        <w:t>年丹河水功能区水质达标率达到</w:t>
      </w:r>
      <w:r>
        <w:rPr>
          <w:rFonts w:eastAsia="宋体"/>
          <w:b w:val="0"/>
          <w:sz w:val="28"/>
          <w:szCs w:val="28"/>
        </w:rPr>
        <w:t>100%</w:t>
      </w:r>
      <w:r>
        <w:rPr>
          <w:rFonts w:hAnsi="宋体" w:eastAsia="宋体"/>
          <w:b w:val="0"/>
          <w:sz w:val="28"/>
          <w:szCs w:val="28"/>
        </w:rPr>
        <w:t>。</w:t>
      </w:r>
    </w:p>
    <w:p w14:paraId="1F13BB90">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Cs w:val="22"/>
        </w:rPr>
      </w:pPr>
      <w:r>
        <w:rPr>
          <w:rFonts w:hAnsi="宋体" w:eastAsia="宋体"/>
          <w:b w:val="0"/>
          <w:sz w:val="28"/>
          <w:szCs w:val="28"/>
        </w:rPr>
        <w:t>水电开发建设和运行监管基本规范，主要断面的生态流量及水电站下</w:t>
      </w:r>
      <w:r>
        <w:rPr>
          <w:rFonts w:eastAsia="宋体"/>
          <w:b w:val="0"/>
          <w:sz w:val="28"/>
          <w:szCs w:val="28"/>
        </w:rPr>
        <w:t>泄流量得到保证，特有经济鱼类栖息地基本得到保护，河岸植被恢复良好，水生态系统逐步改善</w:t>
      </w:r>
      <w:r>
        <w:rPr>
          <w:rFonts w:ascii="Times New Roman" w:hAnsi="Times New Roman" w:eastAsia="宋体" w:cs="Times New Roman"/>
          <w:szCs w:val="22"/>
        </w:rPr>
        <w:t>。</w:t>
      </w:r>
    </w:p>
    <w:p w14:paraId="3D25FB1E">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ascii="Times New Roman" w:hAnsi="Times New Roman" w:eastAsia="宋体" w:cs="Times New Roman"/>
          <w:szCs w:val="22"/>
          <w:lang w:eastAsia="zh-CN"/>
        </w:rPr>
      </w:pPr>
      <w:r>
        <w:rPr>
          <w:rFonts w:ascii="Times New Roman" w:hAnsi="Times New Roman" w:eastAsia="宋体" w:cs="Times New Roman"/>
          <w:szCs w:val="22"/>
        </w:rPr>
        <w:t>（3）</w:t>
      </w:r>
      <w:r>
        <w:rPr>
          <w:rFonts w:hint="eastAsia" w:ascii="Times New Roman" w:hAnsi="Times New Roman" w:eastAsia="宋体" w:cs="Times New Roman"/>
          <w:szCs w:val="22"/>
          <w:lang w:eastAsia="zh-CN"/>
        </w:rPr>
        <w:t>地下水采补平衡，水环境改善</w:t>
      </w:r>
    </w:p>
    <w:p w14:paraId="3861AC74">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Cs w:val="22"/>
        </w:rPr>
      </w:pPr>
      <w:r>
        <w:rPr>
          <w:rFonts w:hAnsi="宋体" w:eastAsia="宋体"/>
          <w:b w:val="0"/>
          <w:sz w:val="28"/>
          <w:szCs w:val="28"/>
        </w:rPr>
        <w:t>通过地下水限采、合理确定</w:t>
      </w:r>
      <w:r>
        <w:rPr>
          <w:rFonts w:hint="eastAsia" w:hAnsi="宋体" w:eastAsia="宋体"/>
          <w:b w:val="0"/>
          <w:sz w:val="28"/>
          <w:szCs w:val="28"/>
          <w:lang w:val="en-US" w:eastAsia="zh-CN"/>
        </w:rPr>
        <w:t>煤炭</w:t>
      </w:r>
      <w:r>
        <w:rPr>
          <w:rFonts w:hAnsi="宋体" w:eastAsia="宋体"/>
          <w:b w:val="0"/>
          <w:sz w:val="28"/>
          <w:szCs w:val="28"/>
        </w:rPr>
        <w:t>开采规模、加大岩溶泉域保护力度等措施，实现流域地下水采补平衡。加大地下水污染治理力度，集中式饮用水源地水质全面达标，区域地下水水质状况得到显著改善</w:t>
      </w:r>
      <w:r>
        <w:rPr>
          <w:rFonts w:ascii="Times New Roman" w:hAnsi="Times New Roman" w:eastAsia="宋体" w:cs="Times New Roman"/>
          <w:szCs w:val="22"/>
        </w:rPr>
        <w:t>。</w:t>
      </w:r>
    </w:p>
    <w:p w14:paraId="4144D6E8">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Cs w:val="22"/>
        </w:rPr>
      </w:pPr>
      <w:r>
        <w:rPr>
          <w:rFonts w:ascii="Times New Roman" w:hAnsi="Times New Roman" w:eastAsia="宋体" w:cs="Times New Roman"/>
          <w:szCs w:val="22"/>
        </w:rPr>
        <w:t>（4）</w:t>
      </w:r>
      <w:r>
        <w:rPr>
          <w:rFonts w:hAnsi="宋体" w:eastAsia="宋体"/>
          <w:b w:val="0"/>
          <w:sz w:val="28"/>
          <w:szCs w:val="28"/>
        </w:rPr>
        <w:t>防洪工程达标，水系网络逐步完善</w:t>
      </w:r>
    </w:p>
    <w:p w14:paraId="1B51809A">
      <w:pPr>
        <w:pStyle w:val="70"/>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Cs w:val="22"/>
        </w:rPr>
      </w:pPr>
      <w:r>
        <w:rPr>
          <w:rFonts w:hAnsi="宋体" w:eastAsia="宋体"/>
          <w:b w:val="0"/>
          <w:sz w:val="28"/>
          <w:szCs w:val="28"/>
        </w:rPr>
        <w:t>沿</w:t>
      </w:r>
      <w:r>
        <w:rPr>
          <w:rFonts w:hint="eastAsia" w:hAnsi="宋体" w:eastAsia="宋体"/>
          <w:b w:val="0"/>
          <w:sz w:val="28"/>
          <w:szCs w:val="28"/>
          <w:lang w:val="en-US" w:eastAsia="zh-CN"/>
        </w:rPr>
        <w:t>丹</w:t>
      </w:r>
      <w:r>
        <w:rPr>
          <w:rFonts w:hAnsi="宋体" w:eastAsia="宋体"/>
          <w:b w:val="0"/>
          <w:sz w:val="28"/>
          <w:szCs w:val="28"/>
        </w:rPr>
        <w:t>河干支流规划</w:t>
      </w:r>
      <w:r>
        <w:rPr>
          <w:rFonts w:hint="eastAsia" w:eastAsia="宋体"/>
          <w:b w:val="0"/>
          <w:sz w:val="28"/>
          <w:szCs w:val="28"/>
          <w:lang w:eastAsia="zh-CN"/>
        </w:rPr>
        <w:t>“</w:t>
      </w:r>
      <w:r>
        <w:rPr>
          <w:rFonts w:hAnsi="宋体" w:eastAsia="宋体"/>
          <w:b w:val="0"/>
          <w:sz w:val="28"/>
          <w:szCs w:val="28"/>
        </w:rPr>
        <w:t>珍珠状</w:t>
      </w:r>
      <w:r>
        <w:rPr>
          <w:rFonts w:hint="eastAsia" w:eastAsia="宋体"/>
          <w:b w:val="0"/>
          <w:sz w:val="28"/>
          <w:szCs w:val="28"/>
          <w:lang w:eastAsia="zh-CN"/>
        </w:rPr>
        <w:t>”</w:t>
      </w:r>
      <w:r>
        <w:rPr>
          <w:rFonts w:hAnsi="宋体" w:eastAsia="宋体"/>
          <w:b w:val="0"/>
          <w:sz w:val="28"/>
          <w:szCs w:val="28"/>
        </w:rPr>
        <w:t>行洪区，蓄滞洪水，达到重建河流水系、补充地下水、净化水质、改善水生态环境等目的。通过河道水系整治、</w:t>
      </w:r>
      <w:r>
        <w:rPr>
          <w:rFonts w:hAnsi="宋体" w:eastAsia="宋体"/>
          <w:b w:val="0"/>
          <w:bCs/>
          <w:kern w:val="0"/>
          <w:sz w:val="28"/>
          <w:szCs w:val="28"/>
        </w:rPr>
        <w:t>山洪灾害治理，</w:t>
      </w:r>
      <w:r>
        <w:rPr>
          <w:rFonts w:hAnsi="宋体" w:eastAsia="宋体"/>
          <w:b w:val="0"/>
          <w:sz w:val="28"/>
          <w:szCs w:val="28"/>
        </w:rPr>
        <w:t>干支流城镇及</w:t>
      </w:r>
      <w:r>
        <w:rPr>
          <w:rFonts w:hAnsi="宋体" w:eastAsia="宋体"/>
          <w:b w:val="0"/>
          <w:bCs/>
          <w:kern w:val="0"/>
          <w:sz w:val="28"/>
          <w:szCs w:val="28"/>
        </w:rPr>
        <w:t>重要工矿企业分布河段防洪工程达到设防标准，</w:t>
      </w:r>
      <w:r>
        <w:rPr>
          <w:rFonts w:hAnsi="宋体" w:eastAsia="宋体"/>
          <w:b w:val="0"/>
          <w:sz w:val="28"/>
          <w:szCs w:val="28"/>
        </w:rPr>
        <w:t>防洪工程与城市道路建设相结合，构筑防洪体系，构建生态长廊</w:t>
      </w:r>
      <w:r>
        <w:rPr>
          <w:rFonts w:ascii="Times New Roman" w:hAnsi="Times New Roman" w:eastAsia="宋体" w:cs="Times New Roman"/>
          <w:szCs w:val="22"/>
        </w:rPr>
        <w:t>。</w:t>
      </w:r>
    </w:p>
    <w:p w14:paraId="19BB3954">
      <w:pPr>
        <w:pStyle w:val="6"/>
        <w:rPr>
          <w:rFonts w:hint="eastAsia" w:eastAsia="楷体"/>
          <w:lang w:eastAsia="zh-CN"/>
        </w:rPr>
      </w:pPr>
      <w:bookmarkStart w:id="156" w:name="_Toc36060135"/>
      <w:r>
        <w:rPr>
          <w:rFonts w:hint="eastAsia"/>
          <w:lang w:val="en-US" w:eastAsia="zh-CN"/>
        </w:rPr>
        <w:t>8.1.3</w:t>
      </w:r>
      <w:r>
        <w:t>流域生态保护与修复</w:t>
      </w:r>
      <w:bookmarkEnd w:id="156"/>
      <w:r>
        <w:rPr>
          <w:rFonts w:hint="eastAsia"/>
          <w:lang w:eastAsia="zh-CN"/>
        </w:rPr>
        <w:t>任务</w:t>
      </w:r>
    </w:p>
    <w:p w14:paraId="55B14A7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sz w:val="28"/>
          <w:szCs w:val="28"/>
        </w:rPr>
      </w:pPr>
      <w:r>
        <w:rPr>
          <w:rFonts w:ascii="宋体" w:hAnsi="宋体" w:eastAsia="宋体"/>
          <w:b w:val="0"/>
          <w:snapToGrid w:val="0"/>
          <w:kern w:val="0"/>
          <w:sz w:val="28"/>
          <w:szCs w:val="28"/>
        </w:rPr>
        <w:t>根据</w:t>
      </w:r>
      <w:r>
        <w:rPr>
          <w:rFonts w:hint="eastAsia" w:ascii="宋体" w:hAnsi="宋体" w:eastAsia="宋体"/>
          <w:b w:val="0"/>
          <w:snapToGrid w:val="0"/>
          <w:kern w:val="0"/>
          <w:sz w:val="28"/>
          <w:szCs w:val="28"/>
          <w:lang w:val="en-US" w:eastAsia="zh-CN"/>
        </w:rPr>
        <w:t>丹</w:t>
      </w:r>
      <w:r>
        <w:rPr>
          <w:rFonts w:ascii="宋体" w:hAnsi="宋体" w:eastAsia="宋体"/>
          <w:b w:val="0"/>
          <w:snapToGrid w:val="0"/>
          <w:kern w:val="0"/>
          <w:sz w:val="28"/>
          <w:szCs w:val="28"/>
        </w:rPr>
        <w:t>河流域自然环境特点、战略地位、国家和区域经济社会发展要求，</w:t>
      </w:r>
      <w:r>
        <w:rPr>
          <w:rFonts w:hint="eastAsia" w:ascii="宋体" w:hAnsi="宋体" w:eastAsia="宋体"/>
          <w:b w:val="0"/>
          <w:snapToGrid w:val="0"/>
          <w:kern w:val="0"/>
          <w:sz w:val="28"/>
          <w:szCs w:val="28"/>
          <w:lang w:val="en-US" w:eastAsia="zh-CN"/>
        </w:rPr>
        <w:t>丹</w:t>
      </w:r>
      <w:r>
        <w:rPr>
          <w:rFonts w:ascii="宋体" w:hAnsi="宋体" w:eastAsia="宋体"/>
          <w:b w:val="0"/>
          <w:snapToGrid w:val="0"/>
          <w:kern w:val="0"/>
          <w:sz w:val="28"/>
          <w:szCs w:val="28"/>
        </w:rPr>
        <w:t>河流域</w:t>
      </w:r>
      <w:r>
        <w:rPr>
          <w:rFonts w:ascii="宋体" w:hAnsi="宋体" w:eastAsia="宋体"/>
          <w:b w:val="0"/>
          <w:bCs/>
          <w:sz w:val="28"/>
          <w:szCs w:val="28"/>
        </w:rPr>
        <w:t>生态修复</w:t>
      </w:r>
      <w:r>
        <w:rPr>
          <w:rFonts w:ascii="宋体" w:hAnsi="宋体" w:eastAsia="宋体"/>
          <w:b w:val="0"/>
          <w:snapToGrid w:val="0"/>
          <w:kern w:val="0"/>
          <w:sz w:val="28"/>
          <w:szCs w:val="28"/>
        </w:rPr>
        <w:t>与保护的主要任务是：根据国家水资源管理“三条红线”的控制要求，加大节水力度，适当开源，保证供水安全；加强水资源保护，改善水环境质量；合理配置水资源，保障河流生态用水，严格水能资源开发和水电梯级运行管理，改善水生态环境；处理好河道整治和河道行洪的关系，合理布设防洪及景观工程，保障防洪安全，改善人居环境；以可开采量为控制，逐步</w:t>
      </w:r>
      <w:r>
        <w:rPr>
          <w:rFonts w:ascii="宋体" w:hAnsi="宋体" w:eastAsia="宋体"/>
          <w:b w:val="0"/>
          <w:kern w:val="0"/>
          <w:sz w:val="28"/>
          <w:szCs w:val="28"/>
        </w:rPr>
        <w:t>退还地下水超采量，实现地下水采补平衡</w:t>
      </w:r>
      <w:r>
        <w:rPr>
          <w:rFonts w:eastAsia="宋体"/>
          <w:sz w:val="28"/>
          <w:szCs w:val="28"/>
        </w:rPr>
        <w:t>。</w:t>
      </w:r>
    </w:p>
    <w:p w14:paraId="35BEA6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bookmarkStart w:id="157" w:name="_Toc36060137"/>
      <w:r>
        <w:rPr>
          <w:rFonts w:hAnsi="宋体" w:eastAsia="宋体"/>
          <w:b w:val="0"/>
          <w:sz w:val="28"/>
          <w:szCs w:val="28"/>
        </w:rPr>
        <w:t>（</w:t>
      </w:r>
      <w:r>
        <w:rPr>
          <w:rFonts w:eastAsia="宋体"/>
          <w:b w:val="0"/>
          <w:sz w:val="28"/>
          <w:szCs w:val="28"/>
        </w:rPr>
        <w:t>1</w:t>
      </w:r>
      <w:r>
        <w:rPr>
          <w:rFonts w:hAnsi="宋体" w:eastAsia="宋体"/>
          <w:b w:val="0"/>
          <w:sz w:val="28"/>
          <w:szCs w:val="28"/>
        </w:rPr>
        <w:t>）水资源合理配置</w:t>
      </w:r>
    </w:p>
    <w:p w14:paraId="50A454C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napToGrid w:val="0"/>
          <w:kern w:val="0"/>
          <w:sz w:val="28"/>
          <w:szCs w:val="28"/>
        </w:rPr>
      </w:pPr>
      <w:r>
        <w:rPr>
          <w:rFonts w:hAnsi="宋体" w:eastAsia="宋体"/>
          <w:b w:val="0"/>
          <w:snapToGrid w:val="0"/>
          <w:kern w:val="0"/>
          <w:sz w:val="28"/>
          <w:szCs w:val="28"/>
        </w:rPr>
        <w:t>按照资源节约、环境友好的节水型社会建设的要求，</w:t>
      </w:r>
      <w:r>
        <w:rPr>
          <w:rFonts w:hint="eastAsia" w:hAnsi="宋体" w:eastAsia="宋体"/>
          <w:b w:val="0"/>
          <w:snapToGrid w:val="0"/>
          <w:kern w:val="0"/>
          <w:sz w:val="28"/>
          <w:szCs w:val="28"/>
          <w:lang w:val="en-US" w:eastAsia="zh-CN"/>
        </w:rPr>
        <w:t>丹</w:t>
      </w:r>
      <w:r>
        <w:rPr>
          <w:rFonts w:hAnsi="宋体" w:eastAsia="宋体"/>
          <w:b w:val="0"/>
          <w:snapToGrid w:val="0"/>
          <w:kern w:val="0"/>
          <w:sz w:val="28"/>
          <w:szCs w:val="28"/>
        </w:rPr>
        <w:t>河流域水资源开发利用的基本思路是</w:t>
      </w:r>
      <w:r>
        <w:rPr>
          <w:rFonts w:hint="eastAsia" w:eastAsia="宋体"/>
          <w:b w:val="0"/>
          <w:snapToGrid w:val="0"/>
          <w:kern w:val="0"/>
          <w:sz w:val="28"/>
          <w:szCs w:val="28"/>
          <w:lang w:eastAsia="zh-CN"/>
        </w:rPr>
        <w:t>“</w:t>
      </w:r>
      <w:r>
        <w:rPr>
          <w:rFonts w:hAnsi="宋体" w:eastAsia="宋体"/>
          <w:b w:val="0"/>
          <w:snapToGrid w:val="0"/>
          <w:kern w:val="0"/>
          <w:sz w:val="28"/>
          <w:szCs w:val="28"/>
        </w:rPr>
        <w:t>总量控制，适度开源，合理配置，强化管理</w:t>
      </w:r>
      <w:r>
        <w:rPr>
          <w:rFonts w:hint="eastAsia" w:eastAsia="宋体"/>
          <w:b w:val="0"/>
          <w:snapToGrid w:val="0"/>
          <w:kern w:val="0"/>
          <w:sz w:val="28"/>
          <w:szCs w:val="28"/>
          <w:lang w:eastAsia="zh-CN"/>
        </w:rPr>
        <w:t>”</w:t>
      </w:r>
      <w:r>
        <w:rPr>
          <w:rFonts w:hAnsi="宋体" w:eastAsia="宋体"/>
          <w:b w:val="0"/>
          <w:snapToGrid w:val="0"/>
          <w:kern w:val="0"/>
          <w:sz w:val="28"/>
          <w:szCs w:val="28"/>
        </w:rPr>
        <w:t>。实行最严格的水资源管理制度，提高用水效率；严格用水总量控制、加强用水定额管理，促进经济结构调整和经济增长方式的转变；优化水资源配置，确保生态用水；通过地表水、地下水、非常规水源的联合调配，有效缓解水资源供需矛盾。</w:t>
      </w:r>
    </w:p>
    <w:p w14:paraId="4C92AEF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w:t>
      </w:r>
      <w:r>
        <w:rPr>
          <w:rFonts w:eastAsia="宋体"/>
          <w:b w:val="0"/>
          <w:sz w:val="28"/>
          <w:szCs w:val="28"/>
        </w:rPr>
        <w:t>2</w:t>
      </w:r>
      <w:r>
        <w:rPr>
          <w:rFonts w:hAnsi="宋体" w:eastAsia="宋体"/>
          <w:b w:val="0"/>
          <w:sz w:val="28"/>
          <w:szCs w:val="28"/>
        </w:rPr>
        <w:t>）水污染防治</w:t>
      </w:r>
    </w:p>
    <w:p w14:paraId="36026C8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napToGrid w:val="0"/>
          <w:kern w:val="0"/>
          <w:sz w:val="28"/>
          <w:szCs w:val="28"/>
        </w:rPr>
      </w:pPr>
      <w:r>
        <w:rPr>
          <w:rFonts w:hAnsi="宋体" w:eastAsia="宋体"/>
          <w:b w:val="0"/>
          <w:sz w:val="28"/>
          <w:szCs w:val="28"/>
        </w:rPr>
        <w:t>以改善水环境质量、恢复流域水域功能为目标，以流域水环境承载能力为约束条件，以污染物入河控制量为控制红线，</w:t>
      </w:r>
      <w:r>
        <w:rPr>
          <w:rFonts w:hAnsi="宋体" w:eastAsia="宋体"/>
          <w:b w:val="0"/>
          <w:snapToGrid w:val="0"/>
          <w:kern w:val="0"/>
          <w:sz w:val="28"/>
          <w:szCs w:val="28"/>
        </w:rPr>
        <w:t>严格纳污控制管理。</w:t>
      </w:r>
      <w:r>
        <w:rPr>
          <w:rFonts w:hAnsi="宋体" w:eastAsia="宋体"/>
          <w:b w:val="0"/>
          <w:sz w:val="28"/>
          <w:szCs w:val="28"/>
        </w:rPr>
        <w:t>优化产业结构和布局，提高工业水污染综合防治水平；优先建设污水处理厂配套管网，继续推进污水处理设施建设；有效控制畜禽养殖污染排放、加强灌区农业面源的防控，推进农村环境综合整治。</w:t>
      </w:r>
    </w:p>
    <w:p w14:paraId="195728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napToGrid w:val="0"/>
          <w:kern w:val="0"/>
          <w:sz w:val="28"/>
          <w:szCs w:val="28"/>
        </w:rPr>
      </w:pPr>
      <w:r>
        <w:rPr>
          <w:rFonts w:hAnsi="宋体" w:eastAsia="宋体"/>
          <w:b w:val="0"/>
          <w:snapToGrid w:val="0"/>
          <w:kern w:val="0"/>
          <w:sz w:val="28"/>
          <w:szCs w:val="28"/>
        </w:rPr>
        <w:t>（</w:t>
      </w:r>
      <w:r>
        <w:rPr>
          <w:rFonts w:eastAsia="宋体"/>
          <w:b w:val="0"/>
          <w:snapToGrid w:val="0"/>
          <w:kern w:val="0"/>
          <w:sz w:val="28"/>
          <w:szCs w:val="28"/>
        </w:rPr>
        <w:t>3</w:t>
      </w:r>
      <w:r>
        <w:rPr>
          <w:rFonts w:hAnsi="宋体" w:eastAsia="宋体"/>
          <w:b w:val="0"/>
          <w:snapToGrid w:val="0"/>
          <w:kern w:val="0"/>
          <w:sz w:val="28"/>
          <w:szCs w:val="28"/>
        </w:rPr>
        <w:t>）河流生态保护与修复</w:t>
      </w:r>
    </w:p>
    <w:p w14:paraId="3E20A11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以保障河流生态需水为重点，通过规范水电开发建设和运行管理，加强水资源统一管理与调度，</w:t>
      </w:r>
      <w:r>
        <w:rPr>
          <w:rFonts w:hAnsi="宋体" w:eastAsia="宋体"/>
          <w:b w:val="0"/>
          <w:snapToGrid w:val="0"/>
          <w:sz w:val="28"/>
          <w:szCs w:val="28"/>
        </w:rPr>
        <w:t>保证河流生态环境流量和水流连续性，</w:t>
      </w:r>
      <w:r>
        <w:rPr>
          <w:rFonts w:hAnsi="宋体" w:eastAsia="宋体"/>
          <w:b w:val="0"/>
          <w:sz w:val="28"/>
          <w:szCs w:val="28"/>
        </w:rPr>
        <w:t>维持河道基本生态功能；沿</w:t>
      </w:r>
      <w:r>
        <w:rPr>
          <w:rFonts w:hint="eastAsia" w:hAnsi="宋体" w:eastAsia="宋体"/>
          <w:b w:val="0"/>
          <w:sz w:val="28"/>
          <w:szCs w:val="28"/>
          <w:lang w:val="en-US" w:eastAsia="zh-CN"/>
        </w:rPr>
        <w:t>丹</w:t>
      </w:r>
      <w:r>
        <w:rPr>
          <w:rFonts w:hAnsi="宋体" w:eastAsia="宋体"/>
          <w:b w:val="0"/>
          <w:sz w:val="28"/>
          <w:szCs w:val="28"/>
        </w:rPr>
        <w:t>河干、支流规划</w:t>
      </w:r>
      <w:r>
        <w:rPr>
          <w:rFonts w:eastAsia="宋体"/>
          <w:b w:val="0"/>
          <w:sz w:val="28"/>
          <w:szCs w:val="28"/>
        </w:rPr>
        <w:t>“</w:t>
      </w:r>
      <w:r>
        <w:rPr>
          <w:rFonts w:hAnsi="宋体" w:eastAsia="宋体"/>
          <w:b w:val="0"/>
          <w:sz w:val="28"/>
          <w:szCs w:val="28"/>
        </w:rPr>
        <w:t>珍珠状</w:t>
      </w:r>
      <w:r>
        <w:rPr>
          <w:rFonts w:eastAsia="宋体"/>
          <w:b w:val="0"/>
          <w:sz w:val="28"/>
          <w:szCs w:val="28"/>
        </w:rPr>
        <w:t>”</w:t>
      </w:r>
      <w:r>
        <w:rPr>
          <w:rFonts w:hAnsi="宋体" w:eastAsia="宋体"/>
          <w:b w:val="0"/>
          <w:sz w:val="28"/>
          <w:szCs w:val="28"/>
        </w:rPr>
        <w:t>行洪区，蓄滞洪水，达到重建河流水系、补充地下水、净化水质、改善水生态环境等目的；加强水土保持，恢复</w:t>
      </w:r>
      <w:r>
        <w:rPr>
          <w:rFonts w:hint="eastAsia" w:hAnsi="宋体" w:eastAsia="宋体"/>
          <w:b w:val="0"/>
          <w:sz w:val="28"/>
          <w:szCs w:val="28"/>
          <w:lang w:val="en-US" w:eastAsia="zh-CN"/>
        </w:rPr>
        <w:t>丹</w:t>
      </w:r>
      <w:r>
        <w:rPr>
          <w:rFonts w:hAnsi="宋体" w:eastAsia="宋体"/>
          <w:b w:val="0"/>
          <w:sz w:val="28"/>
          <w:szCs w:val="28"/>
        </w:rPr>
        <w:t>河及支流河岸带植被，多种途径增加林地资源，拓展绿色生态空间，修筑绿色生态长廊，实现山美水美，人水和谐。</w:t>
      </w:r>
    </w:p>
    <w:p w14:paraId="4FFE0BE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w:t>
      </w:r>
      <w:r>
        <w:rPr>
          <w:rFonts w:eastAsia="宋体"/>
          <w:b w:val="0"/>
          <w:sz w:val="28"/>
          <w:szCs w:val="28"/>
        </w:rPr>
        <w:t>4</w:t>
      </w:r>
      <w:r>
        <w:rPr>
          <w:rFonts w:hAnsi="宋体" w:eastAsia="宋体"/>
          <w:b w:val="0"/>
          <w:sz w:val="28"/>
          <w:szCs w:val="28"/>
        </w:rPr>
        <w:t>）地下水保护与修复</w:t>
      </w:r>
    </w:p>
    <w:p w14:paraId="42BCC5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b w:val="0"/>
          <w:sz w:val="28"/>
          <w:szCs w:val="28"/>
        </w:rPr>
      </w:pPr>
      <w:r>
        <w:rPr>
          <w:rFonts w:hAnsi="宋体" w:eastAsia="宋体"/>
          <w:b w:val="0"/>
          <w:sz w:val="28"/>
          <w:szCs w:val="28"/>
        </w:rPr>
        <w:t>以地下水可开采量为控制，制定规划期限采方案；划定岩溶泉域保护</w:t>
      </w:r>
      <w:r>
        <w:rPr>
          <w:rFonts w:eastAsia="宋体"/>
          <w:b w:val="0"/>
          <w:sz w:val="28"/>
          <w:szCs w:val="28"/>
        </w:rPr>
        <w:t>区，制定切实可行的保护措施，恢复岩溶泉域水量，改善水质；合理确定</w:t>
      </w:r>
      <w:r>
        <w:rPr>
          <w:rFonts w:hint="eastAsia" w:eastAsia="宋体"/>
          <w:b w:val="0"/>
          <w:sz w:val="28"/>
          <w:szCs w:val="28"/>
          <w:lang w:val="en-US" w:eastAsia="zh-CN"/>
        </w:rPr>
        <w:t>煤炭</w:t>
      </w:r>
      <w:r>
        <w:rPr>
          <w:rFonts w:eastAsia="宋体"/>
          <w:b w:val="0"/>
          <w:sz w:val="28"/>
          <w:szCs w:val="28"/>
        </w:rPr>
        <w:t>开采规模，提出修复措施，减缓</w:t>
      </w:r>
      <w:r>
        <w:rPr>
          <w:rFonts w:hint="eastAsia" w:eastAsia="宋体"/>
          <w:b w:val="0"/>
          <w:sz w:val="28"/>
          <w:szCs w:val="28"/>
          <w:lang w:val="en-US" w:eastAsia="zh-CN"/>
        </w:rPr>
        <w:t>煤炭</w:t>
      </w:r>
      <w:r>
        <w:rPr>
          <w:rFonts w:eastAsia="宋体"/>
          <w:b w:val="0"/>
          <w:sz w:val="28"/>
          <w:szCs w:val="28"/>
        </w:rPr>
        <w:t>开采对地下水的影响。</w:t>
      </w:r>
    </w:p>
    <w:p w14:paraId="406FD0CC">
      <w:pPr>
        <w:pStyle w:val="5"/>
      </w:pPr>
      <w:bookmarkStart w:id="158" w:name="_Toc13511"/>
      <w:r>
        <w:rPr>
          <w:rFonts w:hint="eastAsia"/>
          <w:lang w:val="en-US" w:eastAsia="zh-CN"/>
        </w:rPr>
        <w:t>8.2</w:t>
      </w:r>
      <w:r>
        <w:t>重要水源涵养区治理保护</w:t>
      </w:r>
      <w:bookmarkEnd w:id="157"/>
      <w:bookmarkEnd w:id="158"/>
    </w:p>
    <w:p w14:paraId="07C6DDA0">
      <w:pPr>
        <w:pStyle w:val="6"/>
      </w:pPr>
      <w:r>
        <w:rPr>
          <w:rFonts w:hint="eastAsia"/>
          <w:lang w:val="en-US" w:eastAsia="zh-CN"/>
        </w:rPr>
        <w:t>8.2.1</w:t>
      </w:r>
      <w:r>
        <w:t>总体布局</w:t>
      </w:r>
    </w:p>
    <w:p w14:paraId="4AA16E3A">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水源</w:t>
      </w:r>
      <w:r>
        <w:rPr>
          <w:rFonts w:eastAsia="宋体"/>
          <w:sz w:val="28"/>
          <w:szCs w:val="28"/>
        </w:rPr>
        <w:t>涵养</w:t>
      </w:r>
      <w:r>
        <w:rPr>
          <w:rFonts w:hint="eastAsia" w:eastAsia="宋体"/>
          <w:sz w:val="28"/>
          <w:szCs w:val="28"/>
        </w:rPr>
        <w:t>区以</w:t>
      </w:r>
      <w:r>
        <w:rPr>
          <w:rFonts w:eastAsia="宋体"/>
          <w:sz w:val="28"/>
          <w:szCs w:val="28"/>
        </w:rPr>
        <w:t>保护、培育和恢复天然林，以最大限度地发挥其生态效益为中心、以森林的多功能为基础、以市场为导向，调整林区经济产业结构，培育新的经济增长点，促进林区资源环境与社会经济协调发展</w:t>
      </w:r>
      <w:r>
        <w:rPr>
          <w:rFonts w:hint="eastAsia" w:eastAsia="宋体"/>
          <w:sz w:val="28"/>
          <w:szCs w:val="28"/>
        </w:rPr>
        <w:t>。</w:t>
      </w:r>
    </w:p>
    <w:p w14:paraId="6F5F1DA9">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1）造林</w:t>
      </w:r>
    </w:p>
    <w:p w14:paraId="67387DB9">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对于有林地以封山育林为主；对于大面积无林地进行人工造林（种草）或飞播造林（草）；对于源区水源涵养林和饮用水源地保护林一般只进行封山（沙）育林（草）。</w:t>
      </w:r>
    </w:p>
    <w:p w14:paraId="18F97C3F">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2）封育</w:t>
      </w:r>
    </w:p>
    <w:p w14:paraId="2F84FAB8">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水源涵养林营造后应封山育林。饮用水源保护林和下列地段的水源涵养林应划建封禁管护区：①坡度大于35。、岩石裸露的陡峭山坡的水源涵养林；②分水岭山脊的水源涵养林；③大江大河上游及一级支流集水区域的水源涵养林；④河流、湖泊和水库第一重山脊线内的水源涵养林。</w:t>
      </w:r>
    </w:p>
    <w:p w14:paraId="2A7B9C9E">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3）抚育</w:t>
      </w:r>
    </w:p>
    <w:p w14:paraId="622D2F62">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饮用水源保护林一般不允许抚育。其他水源涵养林除确定的特殊保护地段外，可以适当开展抚育活动。一般源区水源涵养林和库区水源涵养林可以进行轻度抚育。岸线水源涵养林可以根据立地条件进行必要的抚育活动。</w:t>
      </w:r>
    </w:p>
    <w:p w14:paraId="0C2F5E1A">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4）低效林改造</w:t>
      </w:r>
    </w:p>
    <w:p w14:paraId="677B5606">
      <w:pPr>
        <w:keepNext w:val="0"/>
        <w:keepLines w:val="0"/>
        <w:pageBreakBefore w:val="0"/>
        <w:widowControl w:val="0"/>
        <w:kinsoku/>
        <w:wordWrap/>
        <w:overflowPunct/>
        <w:topLinePunct w:val="0"/>
        <w:autoSpaceDE/>
        <w:autoSpaceDN/>
        <w:bidi w:val="0"/>
        <w:adjustRightInd w:val="0"/>
        <w:snapToGrid w:val="0"/>
        <w:spacing w:line="360" w:lineRule="auto"/>
        <w:ind w:firstLine="700" w:firstLineChars="250"/>
        <w:textAlignment w:val="auto"/>
        <w:rPr>
          <w:rFonts w:eastAsia="宋体"/>
          <w:sz w:val="28"/>
          <w:szCs w:val="28"/>
        </w:rPr>
      </w:pPr>
      <w:r>
        <w:rPr>
          <w:rFonts w:hint="eastAsia" w:eastAsia="宋体"/>
          <w:sz w:val="28"/>
          <w:szCs w:val="28"/>
        </w:rPr>
        <w:t>因人为干扰或经营管理不当而形成的人工低效林，符合下列条件之一时可以进行改造：①林木分布不均，林隙多，郁闭度低于0．2；②年近中龄而仍未郁闭，林下植被盖度小于30％；③病虫鼠害或其他自然灾害危害严重的林地。</w:t>
      </w:r>
    </w:p>
    <w:p w14:paraId="3E64B5BB">
      <w:pPr>
        <w:pStyle w:val="6"/>
      </w:pPr>
      <w:r>
        <w:rPr>
          <w:rFonts w:hint="eastAsia"/>
          <w:lang w:val="en-US" w:eastAsia="zh-CN"/>
        </w:rPr>
        <w:t>8.2.2</w:t>
      </w:r>
      <w:r>
        <w:t>水源涵养区名录</w:t>
      </w:r>
    </w:p>
    <w:p w14:paraId="2C6A4F99">
      <w:pPr>
        <w:spacing w:line="580" w:lineRule="exact"/>
        <w:ind w:firstLine="570" w:firstLineChars="0"/>
        <w:rPr>
          <w:rFonts w:hint="eastAsia" w:eastAsia="宋体"/>
          <w:sz w:val="28"/>
          <w:szCs w:val="28"/>
          <w:lang w:val="en-US" w:eastAsia="zh-CN"/>
        </w:rPr>
      </w:pPr>
      <w:r>
        <w:rPr>
          <w:rFonts w:hint="eastAsia" w:eastAsia="宋体"/>
          <w:sz w:val="28"/>
          <w:szCs w:val="28"/>
          <w:lang w:val="en-US" w:eastAsia="zh-CN"/>
        </w:rPr>
        <w:t>泽州县目前无重要水源涵养区</w:t>
      </w:r>
      <w:r>
        <w:rPr>
          <w:rFonts w:hint="eastAsia" w:eastAsia="宋体"/>
          <w:sz w:val="28"/>
          <w:szCs w:val="28"/>
          <w:lang w:eastAsia="zh-CN"/>
        </w:rPr>
        <w:t>。</w:t>
      </w:r>
    </w:p>
    <w:p w14:paraId="6C670FD4">
      <w:pPr>
        <w:pStyle w:val="6"/>
      </w:pPr>
      <w:r>
        <w:rPr>
          <w:rFonts w:hint="eastAsia"/>
          <w:lang w:val="en-US" w:eastAsia="zh-CN"/>
        </w:rPr>
        <w:t>8.2.3</w:t>
      </w:r>
      <w:r>
        <w:t>水源涵养区治理保护措施</w:t>
      </w:r>
    </w:p>
    <w:p w14:paraId="74877BA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sz w:val="28"/>
          <w:szCs w:val="28"/>
        </w:rPr>
      </w:pPr>
      <w:r>
        <w:rPr>
          <w:rFonts w:eastAsia="宋体"/>
          <w:sz w:val="28"/>
          <w:szCs w:val="28"/>
        </w:rPr>
        <w:t>1</w:t>
      </w:r>
      <w:r>
        <w:rPr>
          <w:rFonts w:hint="eastAsia" w:eastAsia="宋体"/>
          <w:sz w:val="28"/>
          <w:szCs w:val="28"/>
        </w:rPr>
        <w:t>）保护区</w:t>
      </w:r>
      <w:r>
        <w:rPr>
          <w:rFonts w:eastAsia="宋体"/>
          <w:sz w:val="28"/>
          <w:szCs w:val="28"/>
        </w:rPr>
        <w:t>管理</w:t>
      </w:r>
      <w:r>
        <w:rPr>
          <w:rFonts w:hint="eastAsia" w:eastAsia="宋体"/>
          <w:sz w:val="28"/>
          <w:szCs w:val="28"/>
        </w:rPr>
        <w:t>及水源涵养生态</w:t>
      </w:r>
      <w:r>
        <w:rPr>
          <w:rFonts w:eastAsia="宋体"/>
          <w:sz w:val="28"/>
          <w:szCs w:val="28"/>
        </w:rPr>
        <w:t>建设</w:t>
      </w:r>
    </w:p>
    <w:p w14:paraId="385859F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eastAsia="宋体"/>
          <w:sz w:val="28"/>
          <w:szCs w:val="28"/>
        </w:rPr>
      </w:pPr>
      <w:r>
        <w:rPr>
          <w:rFonts w:eastAsia="宋体"/>
          <w:sz w:val="28"/>
          <w:szCs w:val="28"/>
        </w:rPr>
        <w:t>依法划定</w:t>
      </w:r>
      <w:r>
        <w:rPr>
          <w:rFonts w:hint="eastAsia" w:eastAsia="宋体"/>
          <w:sz w:val="28"/>
          <w:szCs w:val="28"/>
          <w:lang w:eastAsia="zh-CN"/>
        </w:rPr>
        <w:t>丹河源头</w:t>
      </w:r>
      <w:r>
        <w:rPr>
          <w:rFonts w:eastAsia="宋体"/>
          <w:sz w:val="28"/>
          <w:szCs w:val="28"/>
        </w:rPr>
        <w:t>和岩溶大泉源头保护区，重点在高海拔的山地区，设立</w:t>
      </w:r>
      <w:r>
        <w:rPr>
          <w:rFonts w:hint="eastAsia" w:eastAsia="宋体"/>
          <w:sz w:val="28"/>
          <w:szCs w:val="28"/>
        </w:rPr>
        <w:t>重要</w:t>
      </w:r>
      <w:r>
        <w:rPr>
          <w:rFonts w:eastAsia="宋体"/>
          <w:sz w:val="28"/>
          <w:szCs w:val="28"/>
        </w:rPr>
        <w:t>支流源头保护区，按照功能划定重点保护区（核心区）和一般保护区（缓冲区），进行分区保护；划定的保护区范围内严格按保护条例进行管理，以自然恢复为主，辅之以植树造林、封山禁牧等人工措施，形成高郁闭度的水源涵养区；在流域石质山区和宜林土石山区营造高郁闭度林地。加快退耕还林，封山育林，促进自然恢复；开展植树造林，建设集中连片森林植被，形成高郁闭度森林覆盖，有效涵养水源，增加河道基流。</w:t>
      </w:r>
    </w:p>
    <w:p w14:paraId="600EF2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Times New Roman" w:hAnsi="Times New Roman" w:eastAsia="宋体" w:cs="Times New Roman"/>
          <w:sz w:val="28"/>
          <w:szCs w:val="28"/>
        </w:rPr>
      </w:pPr>
      <w:r>
        <w:rPr>
          <w:rFonts w:ascii="Times New Roman" w:hAnsi="Times New Roman" w:eastAsia="宋体" w:cs="Times New Roman"/>
          <w:sz w:val="28"/>
          <w:szCs w:val="28"/>
        </w:rPr>
        <w:t>2）水源涵养区的污染防治及综合治理措施</w:t>
      </w:r>
    </w:p>
    <w:p w14:paraId="19A435D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ascii="Times New Roman" w:hAnsi="Times New Roman" w:eastAsia="宋体" w:cs="Times New Roman"/>
          <w:sz w:val="28"/>
          <w:szCs w:val="28"/>
        </w:rPr>
      </w:pPr>
      <w:r>
        <w:rPr>
          <w:rFonts w:ascii="Times New Roman" w:hAnsi="Times New Roman" w:eastAsia="宋体" w:cs="Times New Roman"/>
          <w:sz w:val="28"/>
          <w:szCs w:val="28"/>
        </w:rPr>
        <w:t>河源区的水源涵养与生态修复是维系生态水量的重要内容，对河源区的主要措施包括：划定河源保护区，进行勘界与立碑；取缔河源区小煤矿和个人采石场，进行移民与生态复垦；通过建设生态林、经济林和小型淤地坝对水土流失进行治理；出台优惠政策，建立河源区生态补偿制度。</w:t>
      </w:r>
    </w:p>
    <w:p w14:paraId="2141A41F">
      <w:pPr>
        <w:pStyle w:val="6"/>
      </w:pPr>
      <w:r>
        <w:rPr>
          <w:rFonts w:hint="eastAsia"/>
          <w:lang w:val="en-US" w:eastAsia="zh-CN"/>
        </w:rPr>
        <w:t>8.2.4</w:t>
      </w:r>
      <w:r>
        <w:t>水源涵养区树种配置</w:t>
      </w:r>
    </w:p>
    <w:p w14:paraId="752AF878">
      <w:pPr>
        <w:spacing w:line="360" w:lineRule="auto"/>
        <w:ind w:firstLine="700" w:firstLineChars="250"/>
        <w:rPr>
          <w:rFonts w:ascii="宋体" w:hAnsi="宋体" w:eastAsia="宋体"/>
          <w:sz w:val="28"/>
          <w:szCs w:val="28"/>
        </w:rPr>
      </w:pPr>
      <w:r>
        <w:rPr>
          <w:rFonts w:hint="eastAsia" w:ascii="宋体" w:hAnsi="宋体" w:eastAsia="宋体"/>
          <w:sz w:val="28"/>
          <w:szCs w:val="28"/>
        </w:rPr>
        <w:t>1）</w:t>
      </w:r>
      <w:r>
        <w:rPr>
          <w:rFonts w:ascii="宋体" w:hAnsi="宋体" w:eastAsia="宋体"/>
          <w:sz w:val="28"/>
          <w:szCs w:val="28"/>
        </w:rPr>
        <w:t>各立地类型及适生树种</w:t>
      </w:r>
    </w:p>
    <w:p w14:paraId="132E2D90">
      <w:pPr>
        <w:spacing w:line="360" w:lineRule="auto"/>
        <w:ind w:firstLine="0" w:firstLineChars="0"/>
        <w:jc w:val="center"/>
        <w:rPr>
          <w:rFonts w:hint="eastAsia" w:ascii="宋体" w:hAnsi="宋体" w:eastAsia="宋体"/>
          <w:b/>
          <w:sz w:val="28"/>
          <w:szCs w:val="28"/>
        </w:rPr>
      </w:pPr>
    </w:p>
    <w:p w14:paraId="55E21F33">
      <w:pPr>
        <w:spacing w:line="360" w:lineRule="auto"/>
        <w:ind w:firstLine="0" w:firstLineChars="0"/>
        <w:jc w:val="center"/>
        <w:rPr>
          <w:rFonts w:ascii="宋体" w:hAnsi="宋体" w:eastAsia="宋体"/>
          <w:b/>
          <w:sz w:val="28"/>
          <w:szCs w:val="28"/>
        </w:rPr>
      </w:pPr>
      <w:r>
        <w:rPr>
          <w:rFonts w:hint="eastAsia" w:ascii="宋体" w:hAnsi="宋体" w:eastAsia="宋体"/>
          <w:b/>
          <w:sz w:val="28"/>
          <w:szCs w:val="28"/>
        </w:rPr>
        <w:t>表</w:t>
      </w:r>
      <w:r>
        <w:rPr>
          <w:rFonts w:ascii="宋体" w:hAnsi="宋体" w:eastAsia="宋体"/>
          <w:b/>
          <w:sz w:val="28"/>
          <w:szCs w:val="28"/>
        </w:rPr>
        <w:t>立地类型及适生树种</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4"/>
        <w:gridCol w:w="5743"/>
      </w:tblGrid>
      <w:tr w14:paraId="52C9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0" w:type="pct"/>
            <w:vAlign w:val="center"/>
          </w:tcPr>
          <w:p w14:paraId="76EED7A0">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立地类型</w:t>
            </w:r>
          </w:p>
        </w:tc>
        <w:tc>
          <w:tcPr>
            <w:tcW w:w="3209" w:type="pct"/>
            <w:vAlign w:val="center"/>
          </w:tcPr>
          <w:p w14:paraId="222DE6B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适生树种</w:t>
            </w:r>
          </w:p>
        </w:tc>
      </w:tr>
      <w:tr w14:paraId="02B9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Align w:val="center"/>
          </w:tcPr>
          <w:p w14:paraId="409AE55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海拔400m以下阳坡厚土组（土层厚50cm以上）</w:t>
            </w:r>
          </w:p>
        </w:tc>
        <w:tc>
          <w:tcPr>
            <w:tcW w:w="3209" w:type="pct"/>
            <w:vAlign w:val="center"/>
          </w:tcPr>
          <w:p w14:paraId="2D0347E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油松、侧柏、刺槐、栓皮栎、元宝枫、黄栌、杜梨</w:t>
            </w:r>
          </w:p>
        </w:tc>
      </w:tr>
      <w:tr w14:paraId="586C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Align w:val="center"/>
          </w:tcPr>
          <w:p w14:paraId="03785ED5">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海拔400m以下阳坡薄土组（土层厚50cm以下）</w:t>
            </w:r>
          </w:p>
        </w:tc>
        <w:tc>
          <w:tcPr>
            <w:tcW w:w="3209" w:type="pct"/>
            <w:vAlign w:val="center"/>
          </w:tcPr>
          <w:p w14:paraId="2EA8D31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侧柏、栓皮栎、黄栌、紫穗槐、酸枣、杜梨、黄荆</w:t>
            </w:r>
          </w:p>
        </w:tc>
      </w:tr>
      <w:tr w14:paraId="1622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Align w:val="center"/>
          </w:tcPr>
          <w:p w14:paraId="02F91A6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海拔400m以上阳坡厚土组（土层厚50cm以上）</w:t>
            </w:r>
          </w:p>
        </w:tc>
        <w:tc>
          <w:tcPr>
            <w:tcW w:w="3209" w:type="pct"/>
            <w:vAlign w:val="center"/>
          </w:tcPr>
          <w:p w14:paraId="37FF52B9">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油松、侧柏、刺槐、栓皮栎、元宝枫、槲树、山杨、杜梨、山杏、黄栌、沙棘、酸枣、黄荆、胡枝子</w:t>
            </w:r>
          </w:p>
        </w:tc>
      </w:tr>
      <w:tr w14:paraId="1E1A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Align w:val="center"/>
          </w:tcPr>
          <w:p w14:paraId="3CBCE0E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海拔400m以下阳坡薄土组（土层厚50cm以下）</w:t>
            </w:r>
          </w:p>
        </w:tc>
        <w:tc>
          <w:tcPr>
            <w:tcW w:w="3209" w:type="pct"/>
            <w:vAlign w:val="center"/>
          </w:tcPr>
          <w:p w14:paraId="09356645">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侧柏、栓皮栎、黄栌、紫穗槐、酸枣、杜梨、黄荆</w:t>
            </w:r>
          </w:p>
        </w:tc>
      </w:tr>
      <w:tr w14:paraId="72C6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Align w:val="center"/>
          </w:tcPr>
          <w:p w14:paraId="36D49C6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海拔400m以下阳坡厚土组（土层厚50cm以上）</w:t>
            </w:r>
          </w:p>
        </w:tc>
        <w:tc>
          <w:tcPr>
            <w:tcW w:w="3209" w:type="pct"/>
            <w:vAlign w:val="center"/>
          </w:tcPr>
          <w:p w14:paraId="34CED141">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油松、华山松、槲树、元宝枫、黄栌、山杏、沙棘</w:t>
            </w:r>
          </w:p>
        </w:tc>
      </w:tr>
      <w:tr w14:paraId="51AC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0" w:type="pct"/>
            <w:vAlign w:val="center"/>
          </w:tcPr>
          <w:p w14:paraId="25717037">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海拔400m以下阳坡薄土组（土层厚50cm以下）</w:t>
            </w:r>
          </w:p>
        </w:tc>
        <w:tc>
          <w:tcPr>
            <w:tcW w:w="3209" w:type="pct"/>
            <w:vAlign w:val="center"/>
          </w:tcPr>
          <w:p w14:paraId="379C6407">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侧柏（背风处低山下部）、油松（土层厚30cm以上）、槲树、华山松（土层厚30cm以上）、山杨、杜梨、丁香、沙棘、黄荆</w:t>
            </w:r>
          </w:p>
        </w:tc>
      </w:tr>
    </w:tbl>
    <w:p w14:paraId="028ADE67">
      <w:pPr>
        <w:spacing w:line="360" w:lineRule="auto"/>
        <w:ind w:firstLine="700" w:firstLineChars="250"/>
        <w:rPr>
          <w:rFonts w:ascii="宋体" w:hAnsi="宋体" w:eastAsia="宋体"/>
          <w:sz w:val="28"/>
          <w:szCs w:val="28"/>
        </w:rPr>
      </w:pPr>
      <w:r>
        <w:rPr>
          <w:rFonts w:hint="eastAsia" w:ascii="宋体" w:hAnsi="宋体" w:eastAsia="宋体"/>
          <w:sz w:val="28"/>
          <w:szCs w:val="28"/>
        </w:rPr>
        <w:t>2）水源</w:t>
      </w:r>
      <w:r>
        <w:rPr>
          <w:rFonts w:ascii="宋体" w:hAnsi="宋体" w:eastAsia="宋体"/>
          <w:sz w:val="28"/>
          <w:szCs w:val="28"/>
        </w:rPr>
        <w:t>涵养林主要</w:t>
      </w:r>
      <w:r>
        <w:rPr>
          <w:rFonts w:hint="eastAsia" w:ascii="宋体" w:hAnsi="宋体" w:eastAsia="宋体"/>
          <w:sz w:val="28"/>
          <w:szCs w:val="28"/>
        </w:rPr>
        <w:t>树种</w:t>
      </w:r>
      <w:r>
        <w:rPr>
          <w:rFonts w:ascii="宋体" w:hAnsi="宋体" w:eastAsia="宋体"/>
          <w:sz w:val="28"/>
          <w:szCs w:val="28"/>
        </w:rPr>
        <w:t>营造配置模式</w:t>
      </w:r>
    </w:p>
    <w:p w14:paraId="48D482A5">
      <w:pPr>
        <w:spacing w:line="360" w:lineRule="auto"/>
        <w:ind w:firstLine="0" w:firstLineChars="0"/>
        <w:jc w:val="center"/>
        <w:rPr>
          <w:rFonts w:ascii="宋体" w:hAnsi="宋体" w:eastAsia="宋体"/>
          <w:b/>
          <w:sz w:val="28"/>
          <w:szCs w:val="28"/>
        </w:rPr>
      </w:pPr>
      <w:r>
        <w:rPr>
          <w:rFonts w:hint="eastAsia" w:ascii="宋体" w:hAnsi="宋体" w:eastAsia="宋体"/>
          <w:b/>
          <w:sz w:val="28"/>
          <w:szCs w:val="28"/>
        </w:rPr>
        <w:t>表水源</w:t>
      </w:r>
      <w:r>
        <w:rPr>
          <w:rFonts w:ascii="宋体" w:hAnsi="宋体" w:eastAsia="宋体"/>
          <w:b/>
          <w:sz w:val="28"/>
          <w:szCs w:val="28"/>
        </w:rPr>
        <w:t>涵养林主要</w:t>
      </w:r>
      <w:r>
        <w:rPr>
          <w:rFonts w:hint="eastAsia" w:ascii="宋体" w:hAnsi="宋体" w:eastAsia="宋体"/>
          <w:b/>
          <w:sz w:val="28"/>
          <w:szCs w:val="28"/>
        </w:rPr>
        <w:t>树种</w:t>
      </w:r>
      <w:r>
        <w:rPr>
          <w:rFonts w:ascii="宋体" w:hAnsi="宋体" w:eastAsia="宋体"/>
          <w:b/>
          <w:sz w:val="28"/>
          <w:szCs w:val="28"/>
        </w:rPr>
        <w:t>营造配置模式</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26"/>
        <w:gridCol w:w="2245"/>
        <w:gridCol w:w="1663"/>
        <w:gridCol w:w="1700"/>
        <w:gridCol w:w="1505"/>
      </w:tblGrid>
      <w:tr w14:paraId="66C0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930" w:type="pct"/>
            <w:vAlign w:val="center"/>
          </w:tcPr>
          <w:p w14:paraId="4C01B584">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配置模式</w:t>
            </w:r>
          </w:p>
        </w:tc>
        <w:tc>
          <w:tcPr>
            <w:tcW w:w="1284" w:type="pct"/>
            <w:vAlign w:val="center"/>
          </w:tcPr>
          <w:p w14:paraId="6FA819F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适用条件</w:t>
            </w:r>
          </w:p>
        </w:tc>
        <w:tc>
          <w:tcPr>
            <w:tcW w:w="951" w:type="pct"/>
            <w:vAlign w:val="center"/>
          </w:tcPr>
          <w:p w14:paraId="76F9BEA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整地方法</w:t>
            </w:r>
          </w:p>
        </w:tc>
        <w:tc>
          <w:tcPr>
            <w:tcW w:w="972" w:type="pct"/>
            <w:vAlign w:val="center"/>
          </w:tcPr>
          <w:p w14:paraId="4AE10724">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造林密度/（穴或株/hm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tc>
        <w:tc>
          <w:tcPr>
            <w:tcW w:w="860" w:type="pct"/>
            <w:vAlign w:val="center"/>
          </w:tcPr>
          <w:p w14:paraId="001543E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混交方式</w:t>
            </w:r>
          </w:p>
        </w:tc>
      </w:tr>
      <w:tr w14:paraId="321B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22C1BC4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侧柏或油松、野皂荚混交</w:t>
            </w:r>
          </w:p>
        </w:tc>
        <w:tc>
          <w:tcPr>
            <w:tcW w:w="1284" w:type="pct"/>
            <w:vAlign w:val="center"/>
          </w:tcPr>
          <w:p w14:paraId="7D79EA6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石质山地或石灰岩干石山地</w:t>
            </w:r>
          </w:p>
        </w:tc>
        <w:tc>
          <w:tcPr>
            <w:tcW w:w="951" w:type="pct"/>
            <w:vAlign w:val="center"/>
          </w:tcPr>
          <w:p w14:paraId="2B05AC6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穴状整地</w:t>
            </w:r>
          </w:p>
        </w:tc>
        <w:tc>
          <w:tcPr>
            <w:tcW w:w="972" w:type="pct"/>
            <w:vAlign w:val="center"/>
          </w:tcPr>
          <w:p w14:paraId="5EB1FBA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乔木1650，隔行同密度播种或栽植野皂荚</w:t>
            </w:r>
          </w:p>
        </w:tc>
        <w:tc>
          <w:tcPr>
            <w:tcW w:w="860" w:type="pct"/>
            <w:vAlign w:val="center"/>
          </w:tcPr>
          <w:p w14:paraId="39FC68F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行间混交</w:t>
            </w:r>
          </w:p>
        </w:tc>
      </w:tr>
      <w:tr w14:paraId="2322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191AD33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侧柏或油松、山桃或山杏混交</w:t>
            </w:r>
          </w:p>
        </w:tc>
        <w:tc>
          <w:tcPr>
            <w:tcW w:w="1284" w:type="pct"/>
            <w:vAlign w:val="center"/>
          </w:tcPr>
          <w:p w14:paraId="3990CFA6">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石质山地或土石山地</w:t>
            </w:r>
          </w:p>
        </w:tc>
        <w:tc>
          <w:tcPr>
            <w:tcW w:w="951" w:type="pct"/>
            <w:vAlign w:val="center"/>
          </w:tcPr>
          <w:p w14:paraId="73B2DFD9">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侧柏或油松大穴整地；山桃或山杏小穴整地；在石质山地同密度全部小穴</w:t>
            </w:r>
          </w:p>
        </w:tc>
        <w:tc>
          <w:tcPr>
            <w:tcW w:w="972" w:type="pct"/>
            <w:vAlign w:val="center"/>
          </w:tcPr>
          <w:p w14:paraId="69F5E965">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大穴植苗825；小穴播种或栽植1650</w:t>
            </w:r>
          </w:p>
        </w:tc>
        <w:tc>
          <w:tcPr>
            <w:tcW w:w="860" w:type="pct"/>
            <w:vAlign w:val="center"/>
          </w:tcPr>
          <w:p w14:paraId="719141E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行间混交</w:t>
            </w:r>
          </w:p>
        </w:tc>
      </w:tr>
      <w:tr w14:paraId="0AB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04A3B0AB">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侧柏或五角枫、锦鸡儿或荆条或狼牙剌混交</w:t>
            </w:r>
          </w:p>
        </w:tc>
        <w:tc>
          <w:tcPr>
            <w:tcW w:w="1284" w:type="pct"/>
            <w:vAlign w:val="center"/>
          </w:tcPr>
          <w:p w14:paraId="398782C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石质山地</w:t>
            </w:r>
          </w:p>
        </w:tc>
        <w:tc>
          <w:tcPr>
            <w:tcW w:w="951" w:type="pct"/>
            <w:vAlign w:val="center"/>
          </w:tcPr>
          <w:p w14:paraId="7E835BD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侧柏或五角枫采用大穴整地</w:t>
            </w:r>
          </w:p>
        </w:tc>
        <w:tc>
          <w:tcPr>
            <w:tcW w:w="972" w:type="pct"/>
            <w:vAlign w:val="center"/>
          </w:tcPr>
          <w:p w14:paraId="2B974064">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乔木密度825，行间种植同等或多一倍的灌木</w:t>
            </w:r>
          </w:p>
        </w:tc>
        <w:tc>
          <w:tcPr>
            <w:tcW w:w="860" w:type="pct"/>
            <w:vAlign w:val="center"/>
          </w:tcPr>
          <w:p w14:paraId="6B709C8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行间混交</w:t>
            </w:r>
          </w:p>
        </w:tc>
      </w:tr>
      <w:tr w14:paraId="331D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50AA95D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青杨或刺槐、沙棘混交</w:t>
            </w:r>
          </w:p>
        </w:tc>
        <w:tc>
          <w:tcPr>
            <w:tcW w:w="1284" w:type="pct"/>
            <w:vAlign w:val="center"/>
          </w:tcPr>
          <w:p w14:paraId="3F980AA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高海拔黄土丘陵(青杨沙棘林)，低海拔黄土丘陵(刺槐沙棘)</w:t>
            </w:r>
          </w:p>
        </w:tc>
        <w:tc>
          <w:tcPr>
            <w:tcW w:w="951" w:type="pct"/>
            <w:vAlign w:val="center"/>
          </w:tcPr>
          <w:p w14:paraId="3182ADB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乔木大穴整地．灌木小穴整地</w:t>
            </w:r>
          </w:p>
        </w:tc>
        <w:tc>
          <w:tcPr>
            <w:tcW w:w="972" w:type="pct"/>
            <w:vAlign w:val="center"/>
          </w:tcPr>
          <w:p w14:paraId="5D522DF6">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乔木植苗825-1650，灌木隔行同密度栽植</w:t>
            </w:r>
          </w:p>
        </w:tc>
        <w:tc>
          <w:tcPr>
            <w:tcW w:w="860" w:type="pct"/>
            <w:vAlign w:val="center"/>
          </w:tcPr>
          <w:p w14:paraId="22533AC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行间混交</w:t>
            </w:r>
          </w:p>
        </w:tc>
      </w:tr>
      <w:tr w14:paraId="0F52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7C92244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樟子松、杜松或油松、柠条或紫穗槐混交</w:t>
            </w:r>
          </w:p>
        </w:tc>
        <w:tc>
          <w:tcPr>
            <w:tcW w:w="1284" w:type="pct"/>
            <w:vAlign w:val="center"/>
          </w:tcPr>
          <w:p w14:paraId="0418958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太行山北端沙化地，高海拔种柠条，低海拔种紫穗槐</w:t>
            </w:r>
          </w:p>
        </w:tc>
        <w:tc>
          <w:tcPr>
            <w:tcW w:w="951" w:type="pct"/>
            <w:vAlign w:val="center"/>
          </w:tcPr>
          <w:p w14:paraId="4DC3604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水平带整地</w:t>
            </w:r>
          </w:p>
        </w:tc>
        <w:tc>
          <w:tcPr>
            <w:tcW w:w="972" w:type="pct"/>
            <w:vAlign w:val="center"/>
          </w:tcPr>
          <w:p w14:paraId="2381AF85">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乔木植苗，灌木直播，密度1650</w:t>
            </w:r>
          </w:p>
        </w:tc>
        <w:tc>
          <w:tcPr>
            <w:tcW w:w="860" w:type="pct"/>
            <w:vAlign w:val="center"/>
          </w:tcPr>
          <w:p w14:paraId="5E908500">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宽带状混交方式</w:t>
            </w:r>
          </w:p>
        </w:tc>
      </w:tr>
      <w:tr w14:paraId="7BE5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406D000B">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落叶松、抄棘混交</w:t>
            </w:r>
          </w:p>
        </w:tc>
        <w:tc>
          <w:tcPr>
            <w:tcW w:w="1284" w:type="pct"/>
            <w:vAlign w:val="center"/>
          </w:tcPr>
          <w:p w14:paraId="0675B5D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海拔1500m～2000m的土石山地</w:t>
            </w:r>
          </w:p>
        </w:tc>
        <w:tc>
          <w:tcPr>
            <w:tcW w:w="951" w:type="pct"/>
            <w:vAlign w:val="center"/>
          </w:tcPr>
          <w:p w14:paraId="6DFC8AFB">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水平带整地</w:t>
            </w:r>
          </w:p>
        </w:tc>
        <w:tc>
          <w:tcPr>
            <w:tcW w:w="972" w:type="pct"/>
            <w:vAlign w:val="center"/>
          </w:tcPr>
          <w:p w14:paraId="4D865227">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1650</w:t>
            </w:r>
          </w:p>
        </w:tc>
        <w:tc>
          <w:tcPr>
            <w:tcW w:w="860" w:type="pct"/>
            <w:vAlign w:val="center"/>
          </w:tcPr>
          <w:p w14:paraId="10AE66A6">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带状混交</w:t>
            </w:r>
          </w:p>
        </w:tc>
      </w:tr>
      <w:tr w14:paraId="63B3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5E41809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油松或侧柏、天然灌木混交</w:t>
            </w:r>
          </w:p>
        </w:tc>
        <w:tc>
          <w:tcPr>
            <w:tcW w:w="1284" w:type="pct"/>
            <w:vAlign w:val="center"/>
          </w:tcPr>
          <w:p w14:paraId="00C86B50">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宜林荒山，阴坡种油松、阳坡种侧柏</w:t>
            </w:r>
          </w:p>
        </w:tc>
        <w:tc>
          <w:tcPr>
            <w:tcW w:w="951" w:type="pct"/>
            <w:vAlign w:val="center"/>
          </w:tcPr>
          <w:p w14:paraId="1FFEEEF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穴状整地</w:t>
            </w:r>
          </w:p>
        </w:tc>
        <w:tc>
          <w:tcPr>
            <w:tcW w:w="972" w:type="pct"/>
            <w:vAlign w:val="center"/>
          </w:tcPr>
          <w:p w14:paraId="4D2ED994">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乔木825，灌木保留3300</w:t>
            </w:r>
          </w:p>
        </w:tc>
        <w:tc>
          <w:tcPr>
            <w:tcW w:w="860" w:type="pct"/>
            <w:vAlign w:val="center"/>
          </w:tcPr>
          <w:p w14:paraId="0BA637C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不规则块状混交</w:t>
            </w:r>
          </w:p>
        </w:tc>
      </w:tr>
      <w:tr w14:paraId="2BEF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577D9B3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油松、五角枫混交</w:t>
            </w:r>
          </w:p>
        </w:tc>
        <w:tc>
          <w:tcPr>
            <w:tcW w:w="1284" w:type="pct"/>
            <w:vAlign w:val="center"/>
          </w:tcPr>
          <w:p w14:paraId="788C60C5">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海拔1500nl～2000m的土石山地阴坡</w:t>
            </w:r>
          </w:p>
        </w:tc>
        <w:tc>
          <w:tcPr>
            <w:tcW w:w="951" w:type="pct"/>
            <w:vAlign w:val="center"/>
          </w:tcPr>
          <w:p w14:paraId="2BF576A1">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34CBA33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11EB6A8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行间混交或带状混交，比例1：1</w:t>
            </w:r>
          </w:p>
        </w:tc>
      </w:tr>
      <w:tr w14:paraId="6C5E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23AF2241">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油松、山杨或白桦混交</w:t>
            </w:r>
          </w:p>
        </w:tc>
        <w:tc>
          <w:tcPr>
            <w:tcW w:w="1284" w:type="pct"/>
            <w:vAlign w:val="center"/>
          </w:tcPr>
          <w:p w14:paraId="0890874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海拔1500nl～2000m的土石山地阴坡</w:t>
            </w:r>
          </w:p>
        </w:tc>
        <w:tc>
          <w:tcPr>
            <w:tcW w:w="951" w:type="pct"/>
            <w:vAlign w:val="center"/>
          </w:tcPr>
          <w:p w14:paraId="266743C9">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穴状整地</w:t>
            </w:r>
          </w:p>
        </w:tc>
        <w:tc>
          <w:tcPr>
            <w:tcW w:w="972" w:type="pct"/>
            <w:vAlign w:val="center"/>
          </w:tcPr>
          <w:p w14:paraId="4BDAC2C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0D1955A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人工块状混交或油松与天然更新的山杨、白桦组成混交林</w:t>
            </w:r>
          </w:p>
        </w:tc>
      </w:tr>
      <w:tr w14:paraId="0944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4A4047FB">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华北落叶松、五角枫或北京花楸</w:t>
            </w:r>
          </w:p>
        </w:tc>
        <w:tc>
          <w:tcPr>
            <w:tcW w:w="1284" w:type="pct"/>
            <w:vAlign w:val="center"/>
          </w:tcPr>
          <w:p w14:paraId="2133D2A9">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海拔1500m以上的土石山阴坡</w:t>
            </w:r>
          </w:p>
        </w:tc>
        <w:tc>
          <w:tcPr>
            <w:tcW w:w="951" w:type="pct"/>
            <w:vAlign w:val="center"/>
          </w:tcPr>
          <w:p w14:paraId="0B0C5DD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穴状整地</w:t>
            </w:r>
          </w:p>
        </w:tc>
        <w:tc>
          <w:tcPr>
            <w:tcW w:w="972" w:type="pct"/>
            <w:vAlign w:val="center"/>
          </w:tcPr>
          <w:p w14:paraId="6F3B852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2D74284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块状或行间混交，针阔比例2：1</w:t>
            </w:r>
          </w:p>
        </w:tc>
      </w:tr>
      <w:tr w14:paraId="719F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0D90A97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华北落叶松或日本落叶松，白桦或山杨混交</w:t>
            </w:r>
          </w:p>
        </w:tc>
        <w:tc>
          <w:tcPr>
            <w:tcW w:w="1284" w:type="pct"/>
            <w:vAlign w:val="center"/>
          </w:tcPr>
          <w:p w14:paraId="0AA86AE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海拔1500m以上的土石山阴坡</w:t>
            </w:r>
          </w:p>
        </w:tc>
        <w:tc>
          <w:tcPr>
            <w:tcW w:w="951" w:type="pct"/>
            <w:vAlign w:val="center"/>
          </w:tcPr>
          <w:p w14:paraId="468C958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穴状整地</w:t>
            </w:r>
          </w:p>
        </w:tc>
        <w:tc>
          <w:tcPr>
            <w:tcW w:w="972" w:type="pct"/>
            <w:vAlign w:val="center"/>
          </w:tcPr>
          <w:p w14:paraId="4AD16F4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3E01338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行间混交，或白桦、山杨小块状混交于落叶松林中</w:t>
            </w:r>
          </w:p>
        </w:tc>
      </w:tr>
      <w:tr w14:paraId="77B7B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005DA9A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侧柏、五角枫混交</w:t>
            </w:r>
          </w:p>
        </w:tc>
        <w:tc>
          <w:tcPr>
            <w:tcW w:w="1284" w:type="pct"/>
            <w:vAlign w:val="center"/>
          </w:tcPr>
          <w:p w14:paraId="68C64AC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海拔1500m以下的石质山地和土石山地</w:t>
            </w:r>
          </w:p>
        </w:tc>
        <w:tc>
          <w:tcPr>
            <w:tcW w:w="951" w:type="pct"/>
            <w:vAlign w:val="center"/>
          </w:tcPr>
          <w:p w14:paraId="0B4D9A8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干石山大穴整地，土石山小穴整地</w:t>
            </w:r>
          </w:p>
        </w:tc>
        <w:tc>
          <w:tcPr>
            <w:tcW w:w="972" w:type="pct"/>
            <w:vAlign w:val="center"/>
          </w:tcPr>
          <w:p w14:paraId="0D8C7B6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1650～3300</w:t>
            </w:r>
          </w:p>
        </w:tc>
        <w:tc>
          <w:tcPr>
            <w:tcW w:w="860" w:type="pct"/>
            <w:vAlign w:val="center"/>
          </w:tcPr>
          <w:p w14:paraId="35A42E0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行间、带状(带宽3m)或块状混交</w:t>
            </w:r>
          </w:p>
        </w:tc>
      </w:tr>
      <w:tr w14:paraId="41F5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6D888A75">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侧柏、刺槐混交</w:t>
            </w:r>
          </w:p>
        </w:tc>
        <w:tc>
          <w:tcPr>
            <w:tcW w:w="1284" w:type="pct"/>
            <w:vAlign w:val="center"/>
          </w:tcPr>
          <w:p w14:paraId="5A8A3957">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海拔1500m以下的土石山地</w:t>
            </w:r>
          </w:p>
        </w:tc>
        <w:tc>
          <w:tcPr>
            <w:tcW w:w="951" w:type="pct"/>
            <w:vAlign w:val="center"/>
          </w:tcPr>
          <w:p w14:paraId="1A11B3E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01A8E8C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22E58B9B">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带状或块状混交，比例1：1或2：1</w:t>
            </w:r>
          </w:p>
        </w:tc>
      </w:tr>
      <w:tr w14:paraId="148F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77668A9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油松、刺槐混交</w:t>
            </w:r>
          </w:p>
        </w:tc>
        <w:tc>
          <w:tcPr>
            <w:tcW w:w="1284" w:type="pct"/>
            <w:vAlign w:val="center"/>
          </w:tcPr>
          <w:p w14:paraId="69B13A41">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1500m以下的土石山地</w:t>
            </w:r>
          </w:p>
        </w:tc>
        <w:tc>
          <w:tcPr>
            <w:tcW w:w="951" w:type="pct"/>
            <w:vAlign w:val="center"/>
          </w:tcPr>
          <w:p w14:paraId="10E65631">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34141AA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0463A3A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带状或块状混交，比例1：1或2：1</w:t>
            </w:r>
          </w:p>
        </w:tc>
      </w:tr>
      <w:tr w14:paraId="0F66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208CCDA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野皂荚、荆条混交</w:t>
            </w:r>
          </w:p>
        </w:tc>
        <w:tc>
          <w:tcPr>
            <w:tcW w:w="1284" w:type="pct"/>
            <w:vAlign w:val="center"/>
          </w:tcPr>
          <w:p w14:paraId="12940CDE">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石质山地</w:t>
            </w:r>
          </w:p>
        </w:tc>
        <w:tc>
          <w:tcPr>
            <w:tcW w:w="951" w:type="pct"/>
            <w:vAlign w:val="center"/>
          </w:tcPr>
          <w:p w14:paraId="1CAE9E7A">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14C353B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直播4950，栽植</w:t>
            </w:r>
          </w:p>
          <w:p w14:paraId="5444F449">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35E7B69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带状或块状混交，比例1：1</w:t>
            </w:r>
          </w:p>
        </w:tc>
      </w:tr>
      <w:tr w14:paraId="4FCA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77B290E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山桃、山杏、黄刺玫混交</w:t>
            </w:r>
          </w:p>
        </w:tc>
        <w:tc>
          <w:tcPr>
            <w:tcW w:w="1284" w:type="pct"/>
            <w:vAlign w:val="center"/>
          </w:tcPr>
          <w:p w14:paraId="5934886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土层薄的土石山或石质山地</w:t>
            </w:r>
          </w:p>
        </w:tc>
        <w:tc>
          <w:tcPr>
            <w:tcW w:w="951" w:type="pct"/>
            <w:vAlign w:val="center"/>
          </w:tcPr>
          <w:p w14:paraId="26A508F7">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31289CC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直播4950，栽植</w:t>
            </w:r>
          </w:p>
          <w:p w14:paraId="7E36DB88">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2B30E92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带状或块状混交，比例1：1：1</w:t>
            </w:r>
          </w:p>
        </w:tc>
      </w:tr>
      <w:tr w14:paraId="27F6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72D27EBD">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酸枣、锦鸡儿混交</w:t>
            </w:r>
          </w:p>
        </w:tc>
        <w:tc>
          <w:tcPr>
            <w:tcW w:w="1284" w:type="pct"/>
            <w:vAlign w:val="center"/>
          </w:tcPr>
          <w:p w14:paraId="0C62C60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海拔1200m以下黄土丘陵侵蚀沟、陡坡</w:t>
            </w:r>
          </w:p>
        </w:tc>
        <w:tc>
          <w:tcPr>
            <w:tcW w:w="951" w:type="pct"/>
            <w:vAlign w:val="center"/>
          </w:tcPr>
          <w:p w14:paraId="35B69F2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45EBCB7C">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直播3300～4950</w:t>
            </w:r>
          </w:p>
        </w:tc>
        <w:tc>
          <w:tcPr>
            <w:tcW w:w="860" w:type="pct"/>
            <w:vAlign w:val="center"/>
          </w:tcPr>
          <w:p w14:paraId="0BE114B2">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不规则块状混交</w:t>
            </w:r>
          </w:p>
        </w:tc>
      </w:tr>
      <w:tr w14:paraId="3EBC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4661A8B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沙棘、柠条混交</w:t>
            </w:r>
          </w:p>
        </w:tc>
        <w:tc>
          <w:tcPr>
            <w:tcW w:w="1284" w:type="pct"/>
            <w:vAlign w:val="center"/>
          </w:tcPr>
          <w:p w14:paraId="235FBA21">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海拔1500m以下的沙化土地</w:t>
            </w:r>
          </w:p>
        </w:tc>
        <w:tc>
          <w:tcPr>
            <w:tcW w:w="951" w:type="pct"/>
            <w:vAlign w:val="center"/>
          </w:tcPr>
          <w:p w14:paraId="66FE59BF">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小穴整地</w:t>
            </w:r>
          </w:p>
        </w:tc>
        <w:tc>
          <w:tcPr>
            <w:tcW w:w="972" w:type="pct"/>
            <w:vAlign w:val="center"/>
          </w:tcPr>
          <w:p w14:paraId="3F59D6C0">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3300</w:t>
            </w:r>
          </w:p>
        </w:tc>
        <w:tc>
          <w:tcPr>
            <w:tcW w:w="860" w:type="pct"/>
            <w:vAlign w:val="center"/>
          </w:tcPr>
          <w:p w14:paraId="7D345953">
            <w:pPr>
              <w:spacing w:line="24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块状混交</w:t>
            </w:r>
          </w:p>
        </w:tc>
      </w:tr>
    </w:tbl>
    <w:p w14:paraId="74779F5D">
      <w:pPr>
        <w:spacing w:line="240" w:lineRule="auto"/>
        <w:ind w:firstLine="700" w:firstLineChars="250"/>
        <w:rPr>
          <w:rFonts w:ascii="宋体" w:hAnsi="宋体" w:eastAsia="宋体"/>
          <w:sz w:val="28"/>
          <w:szCs w:val="28"/>
        </w:rPr>
      </w:pPr>
    </w:p>
    <w:p w14:paraId="686C7D54">
      <w:pPr>
        <w:pStyle w:val="5"/>
      </w:pPr>
      <w:bookmarkStart w:id="159" w:name="_Toc1724"/>
      <w:bookmarkStart w:id="160" w:name="_Toc36060138"/>
      <w:r>
        <w:rPr>
          <w:rFonts w:hint="eastAsia"/>
          <w:lang w:val="en-US" w:eastAsia="zh-CN"/>
        </w:rPr>
        <w:t>8.3</w:t>
      </w:r>
      <w:r>
        <w:t>重要饮用水水源地治理保护</w:t>
      </w:r>
      <w:bookmarkEnd w:id="159"/>
      <w:bookmarkEnd w:id="160"/>
    </w:p>
    <w:p w14:paraId="7F50458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为实现饮用水水源地</w:t>
      </w:r>
      <w:r>
        <w:rPr>
          <w:rFonts w:hint="eastAsia" w:eastAsia="宋体"/>
          <w:sz w:val="28"/>
          <w:szCs w:val="28"/>
          <w:lang w:eastAsia="zh-CN"/>
        </w:rPr>
        <w:t>“</w:t>
      </w:r>
      <w:r>
        <w:rPr>
          <w:rFonts w:eastAsia="宋体"/>
          <w:sz w:val="28"/>
          <w:szCs w:val="28"/>
        </w:rPr>
        <w:t>水量保证、水质合格、监控完备、制度健全</w:t>
      </w:r>
      <w:r>
        <w:rPr>
          <w:rFonts w:hint="eastAsia" w:eastAsia="宋体"/>
          <w:sz w:val="28"/>
          <w:szCs w:val="28"/>
          <w:lang w:eastAsia="zh-CN"/>
        </w:rPr>
        <w:t>”</w:t>
      </w:r>
      <w:r>
        <w:rPr>
          <w:rFonts w:eastAsia="宋体"/>
          <w:sz w:val="28"/>
          <w:szCs w:val="28"/>
        </w:rPr>
        <w:t>的目标要求，以调查饮用水水源地基本情况、环境质量状况、水污染情况、生态环境状况和管理及保护情况为基础，以流域、行政所在地为单元，从供水城市、供水规模、供水人口等方面拟定</w:t>
      </w:r>
      <w:r>
        <w:rPr>
          <w:rFonts w:hint="eastAsia" w:eastAsia="宋体"/>
          <w:sz w:val="28"/>
          <w:szCs w:val="28"/>
          <w:lang w:val="en-US" w:eastAsia="zh-CN"/>
        </w:rPr>
        <w:t>泽州县</w:t>
      </w:r>
      <w:r>
        <w:rPr>
          <w:rFonts w:eastAsia="宋体"/>
          <w:sz w:val="28"/>
          <w:szCs w:val="28"/>
        </w:rPr>
        <w:t>重要饮用水水源地名录。通过对重要饮用水水源地现状运行情况的调查分析，总结重要饮用水水源地现状运行中存在的问题与不足；针对存在的问题，结合</w:t>
      </w:r>
      <w:r>
        <w:rPr>
          <w:rFonts w:hint="eastAsia" w:eastAsia="宋体"/>
          <w:sz w:val="28"/>
          <w:szCs w:val="28"/>
          <w:lang w:val="en-US" w:eastAsia="zh-CN"/>
        </w:rPr>
        <w:t>泽州县</w:t>
      </w:r>
      <w:r>
        <w:rPr>
          <w:rFonts w:eastAsia="宋体"/>
          <w:sz w:val="28"/>
          <w:szCs w:val="28"/>
        </w:rPr>
        <w:t>的具体情况，提出</w:t>
      </w:r>
      <w:r>
        <w:rPr>
          <w:rFonts w:hint="eastAsia" w:eastAsia="宋体"/>
          <w:sz w:val="28"/>
          <w:szCs w:val="28"/>
          <w:lang w:val="en-US" w:eastAsia="zh-CN"/>
        </w:rPr>
        <w:t>泽州县县</w:t>
      </w:r>
      <w:r>
        <w:rPr>
          <w:rFonts w:hint="eastAsia" w:eastAsia="宋体"/>
          <w:sz w:val="28"/>
          <w:szCs w:val="28"/>
          <w:lang w:eastAsia="zh-CN"/>
        </w:rPr>
        <w:t>级</w:t>
      </w:r>
      <w:r>
        <w:rPr>
          <w:rFonts w:eastAsia="宋体"/>
          <w:sz w:val="28"/>
          <w:szCs w:val="28"/>
        </w:rPr>
        <w:t>重要饮用水水源地的保护措施。</w:t>
      </w:r>
    </w:p>
    <w:p w14:paraId="1AC631A8">
      <w:pPr>
        <w:pStyle w:val="6"/>
      </w:pPr>
      <w:r>
        <w:rPr>
          <w:rFonts w:hint="eastAsia"/>
          <w:lang w:val="en-US" w:eastAsia="zh-CN"/>
        </w:rPr>
        <w:t>8.3.1</w:t>
      </w:r>
      <w:r>
        <w:t>重要饮用水水源地名录</w:t>
      </w:r>
    </w:p>
    <w:p w14:paraId="7CD6F58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rPr>
      </w:pPr>
      <w:r>
        <w:rPr>
          <w:rFonts w:hint="eastAsia" w:eastAsia="宋体"/>
          <w:sz w:val="28"/>
          <w:szCs w:val="28"/>
        </w:rPr>
        <w:t>按照规划总体布局，</w:t>
      </w:r>
      <w:r>
        <w:rPr>
          <w:rFonts w:hint="eastAsia" w:eastAsia="宋体"/>
          <w:sz w:val="28"/>
          <w:szCs w:val="28"/>
          <w:lang w:val="en-US" w:eastAsia="zh-CN"/>
        </w:rPr>
        <w:t>泽州县</w:t>
      </w:r>
      <w:r>
        <w:rPr>
          <w:rFonts w:eastAsia="宋体"/>
          <w:sz w:val="28"/>
          <w:szCs w:val="28"/>
        </w:rPr>
        <w:t>重要饮用</w:t>
      </w:r>
      <w:r>
        <w:rPr>
          <w:rFonts w:hint="eastAsia" w:eastAsia="宋体"/>
          <w:sz w:val="28"/>
          <w:szCs w:val="28"/>
        </w:rPr>
        <w:t>水</w:t>
      </w:r>
      <w:r>
        <w:rPr>
          <w:rFonts w:eastAsia="宋体"/>
          <w:sz w:val="28"/>
          <w:szCs w:val="28"/>
        </w:rPr>
        <w:t>源地</w:t>
      </w:r>
      <w:r>
        <w:rPr>
          <w:rFonts w:hint="eastAsia" w:eastAsia="宋体"/>
          <w:sz w:val="28"/>
          <w:szCs w:val="28"/>
        </w:rPr>
        <w:t>共有</w:t>
      </w:r>
      <w:r>
        <w:rPr>
          <w:rFonts w:hint="eastAsia" w:eastAsia="宋体"/>
          <w:sz w:val="28"/>
          <w:szCs w:val="28"/>
          <w:lang w:val="en-US" w:eastAsia="zh-CN"/>
        </w:rPr>
        <w:t>18</w:t>
      </w:r>
      <w:r>
        <w:rPr>
          <w:rFonts w:hint="eastAsia" w:eastAsia="宋体"/>
          <w:sz w:val="28"/>
          <w:szCs w:val="28"/>
        </w:rPr>
        <w:t>个。</w:t>
      </w:r>
    </w:p>
    <w:p w14:paraId="6BD5754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highlight w:val="red"/>
        </w:rPr>
      </w:pPr>
      <w:r>
        <w:rPr>
          <w:rFonts w:hint="eastAsia" w:eastAsia="宋体"/>
          <w:sz w:val="28"/>
          <w:szCs w:val="28"/>
          <w:lang w:eastAsia="zh-CN"/>
        </w:rPr>
        <w:t>全</w:t>
      </w:r>
      <w:r>
        <w:rPr>
          <w:rFonts w:hint="eastAsia" w:eastAsia="宋体"/>
          <w:sz w:val="28"/>
          <w:szCs w:val="28"/>
          <w:lang w:val="en-US" w:eastAsia="zh-CN"/>
        </w:rPr>
        <w:t>县</w:t>
      </w:r>
      <w:r>
        <w:rPr>
          <w:rFonts w:hint="eastAsia" w:eastAsia="宋体"/>
          <w:sz w:val="28"/>
          <w:szCs w:val="28"/>
        </w:rPr>
        <w:t>重要饮用</w:t>
      </w:r>
      <w:r>
        <w:rPr>
          <w:rFonts w:eastAsia="宋体"/>
          <w:sz w:val="28"/>
          <w:szCs w:val="28"/>
        </w:rPr>
        <w:t>水</w:t>
      </w:r>
      <w:r>
        <w:rPr>
          <w:rFonts w:hint="eastAsia" w:eastAsia="宋体"/>
          <w:sz w:val="28"/>
          <w:szCs w:val="28"/>
        </w:rPr>
        <w:t>水</w:t>
      </w:r>
      <w:r>
        <w:rPr>
          <w:rFonts w:eastAsia="宋体"/>
          <w:sz w:val="28"/>
          <w:szCs w:val="28"/>
        </w:rPr>
        <w:t>源地水源保护一级保护区面积</w:t>
      </w:r>
      <w:r>
        <w:rPr>
          <w:rFonts w:hint="eastAsia" w:eastAsia="宋体"/>
          <w:sz w:val="28"/>
          <w:szCs w:val="28"/>
          <w:lang w:val="en-US" w:eastAsia="zh-CN"/>
        </w:rPr>
        <w:t>0.194</w:t>
      </w:r>
      <w:r>
        <w:rPr>
          <w:rFonts w:hint="eastAsia" w:eastAsia="宋体"/>
          <w:sz w:val="28"/>
          <w:szCs w:val="28"/>
          <w:highlight w:val="none"/>
        </w:rPr>
        <w:t>km</w:t>
      </w:r>
      <w:r>
        <w:rPr>
          <w:rFonts w:hint="eastAsia" w:eastAsia="宋体"/>
          <w:sz w:val="28"/>
          <w:szCs w:val="28"/>
          <w:highlight w:val="none"/>
          <w:vertAlign w:val="superscript"/>
        </w:rPr>
        <w:t>2</w:t>
      </w:r>
      <w:r>
        <w:rPr>
          <w:rFonts w:eastAsia="宋体"/>
          <w:sz w:val="28"/>
          <w:szCs w:val="28"/>
          <w:highlight w:val="none"/>
        </w:rPr>
        <w:t>。</w:t>
      </w:r>
    </w:p>
    <w:p w14:paraId="7AB81B24">
      <w:pPr>
        <w:pStyle w:val="6"/>
      </w:pPr>
      <w:r>
        <w:rPr>
          <w:rFonts w:hint="eastAsia"/>
          <w:lang w:val="en-US" w:eastAsia="zh-CN"/>
        </w:rPr>
        <w:t>8.3.2</w:t>
      </w:r>
      <w:r>
        <w:t>水源地现状运行存在问题分析</w:t>
      </w:r>
    </w:p>
    <w:p w14:paraId="2FB61703">
      <w:pPr>
        <w:ind w:firstLine="562"/>
        <w:rPr>
          <w:rFonts w:eastAsia="宋体"/>
          <w:b/>
          <w:sz w:val="28"/>
          <w:szCs w:val="28"/>
        </w:rPr>
      </w:pPr>
      <w:r>
        <w:rPr>
          <w:rFonts w:eastAsia="宋体"/>
          <w:b/>
          <w:sz w:val="28"/>
          <w:szCs w:val="28"/>
        </w:rPr>
        <w:t>1）供水保证方面存在的问题</w:t>
      </w:r>
    </w:p>
    <w:p w14:paraId="780B682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（1）应急水源地建设不足</w:t>
      </w:r>
    </w:p>
    <w:p w14:paraId="0A7BAD9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eastAsia" w:eastAsia="宋体"/>
          <w:sz w:val="28"/>
          <w:szCs w:val="28"/>
        </w:rPr>
      </w:pPr>
      <w:r>
        <w:rPr>
          <w:rFonts w:hint="eastAsia" w:eastAsia="宋体"/>
          <w:sz w:val="28"/>
          <w:szCs w:val="28"/>
        </w:rPr>
        <w:t>随着</w:t>
      </w:r>
      <w:r>
        <w:rPr>
          <w:rFonts w:hint="eastAsia" w:eastAsia="宋体"/>
          <w:sz w:val="28"/>
          <w:szCs w:val="28"/>
          <w:lang w:val="en-US" w:eastAsia="zh-CN"/>
        </w:rPr>
        <w:t>城镇</w:t>
      </w:r>
      <w:r>
        <w:rPr>
          <w:rFonts w:hint="eastAsia" w:eastAsia="宋体"/>
          <w:sz w:val="28"/>
          <w:szCs w:val="28"/>
        </w:rPr>
        <w:t>化进程的加快，环境污染、水资源短缺问题日益严峻，城</w:t>
      </w:r>
      <w:r>
        <w:rPr>
          <w:rFonts w:hint="eastAsia" w:eastAsia="宋体"/>
          <w:sz w:val="28"/>
          <w:szCs w:val="28"/>
          <w:lang w:val="en-US" w:eastAsia="zh-CN"/>
        </w:rPr>
        <w:t>镇</w:t>
      </w:r>
      <w:r>
        <w:rPr>
          <w:rFonts w:hint="eastAsia" w:eastAsia="宋体"/>
          <w:sz w:val="28"/>
          <w:szCs w:val="28"/>
        </w:rPr>
        <w:t>供水安全问题已成为制约经济社会发展的重大难题。</w:t>
      </w:r>
      <w:r>
        <w:rPr>
          <w:rFonts w:hint="eastAsia" w:eastAsia="宋体"/>
          <w:sz w:val="28"/>
          <w:szCs w:val="28"/>
          <w:lang w:val="en-US" w:eastAsia="zh-CN"/>
        </w:rPr>
        <w:t>城镇</w:t>
      </w:r>
      <w:r>
        <w:rPr>
          <w:rFonts w:hint="eastAsia" w:eastAsia="宋体"/>
          <w:sz w:val="28"/>
          <w:szCs w:val="28"/>
        </w:rPr>
        <w:t>供水安全主要表现在供水水量和水质两个方面，受气候条件变化、环境污染、供水技术等影响，</w:t>
      </w:r>
      <w:r>
        <w:rPr>
          <w:rFonts w:hint="eastAsia" w:eastAsia="宋体"/>
          <w:sz w:val="28"/>
          <w:szCs w:val="28"/>
          <w:lang w:val="en-US" w:eastAsia="zh-CN"/>
        </w:rPr>
        <w:t>城镇</w:t>
      </w:r>
      <w:r>
        <w:rPr>
          <w:rFonts w:hint="eastAsia" w:eastAsia="宋体"/>
          <w:sz w:val="28"/>
          <w:szCs w:val="28"/>
        </w:rPr>
        <w:t>供水容易出现水量供应不足等问题，严重威胁供水安全，一旦突发影响供水安全的环境事故，</w:t>
      </w:r>
      <w:r>
        <w:rPr>
          <w:rFonts w:hint="eastAsia" w:eastAsia="宋体"/>
          <w:sz w:val="28"/>
          <w:szCs w:val="28"/>
          <w:lang w:val="en-US" w:eastAsia="zh-CN"/>
        </w:rPr>
        <w:t>城镇</w:t>
      </w:r>
      <w:r>
        <w:rPr>
          <w:rFonts w:hint="eastAsia" w:eastAsia="宋体"/>
          <w:sz w:val="28"/>
          <w:szCs w:val="28"/>
        </w:rPr>
        <w:t>供水将可能面临全面停水的风险局面，因此科学规划和建设应急水源地显得非常重要。</w:t>
      </w:r>
    </w:p>
    <w:p w14:paraId="0DD1619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（2）供水设施缺乏养护、供水能力不足</w:t>
      </w:r>
    </w:p>
    <w:p w14:paraId="2263FD0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部分水源地由于建设历史久远，供水设施常年运行，缺乏必要的维护和更换，导致供水管道漏损、水泵运行能力下降等，供水能力日渐减弱，造成能源和水资源浪费、供水水压下降等问题，威胁水源地供水安全。同时随着社会经济的快速发展和人口规模的增加，导致部分水源地已处于超负荷运行状态，日益增长的需水量逐渐超过了设计供水量，导致出现供水不足的现象。</w:t>
      </w:r>
    </w:p>
    <w:p w14:paraId="386AC61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（3）部分水源地位于地下水超采区</w:t>
      </w:r>
    </w:p>
    <w:p w14:paraId="16C7088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hint="eastAsia" w:eastAsia="宋体"/>
          <w:sz w:val="28"/>
          <w:szCs w:val="28"/>
          <w:lang w:eastAsia="zh-CN"/>
        </w:rPr>
        <w:t>饮用水水源地大部分</w:t>
      </w:r>
      <w:r>
        <w:rPr>
          <w:rFonts w:hint="eastAsia" w:eastAsia="宋体"/>
          <w:sz w:val="28"/>
          <w:szCs w:val="28"/>
        </w:rPr>
        <w:t>为地下水水源地。由于天然河川径流资源量的匮乏，部分</w:t>
      </w:r>
      <w:r>
        <w:rPr>
          <w:rFonts w:hint="eastAsia" w:eastAsia="宋体"/>
          <w:sz w:val="28"/>
          <w:szCs w:val="28"/>
          <w:lang w:val="en-US" w:eastAsia="zh-CN"/>
        </w:rPr>
        <w:t>城镇</w:t>
      </w:r>
      <w:r>
        <w:rPr>
          <w:rFonts w:hint="eastAsia" w:eastAsia="宋体"/>
          <w:sz w:val="28"/>
          <w:szCs w:val="28"/>
        </w:rPr>
        <w:t>注定只能以开采地下水为主，大量集中开采地下水，造成局部区域地下水水位下降，形成地下水降落漏斗，引发地面沉降、塌陷、水质恶化、泉水流量衰减甚至断流、供水井水量下降等环境问题。</w:t>
      </w:r>
    </w:p>
    <w:p w14:paraId="350CCF04">
      <w:pPr>
        <w:ind w:firstLine="562"/>
        <w:rPr>
          <w:rFonts w:eastAsia="宋体"/>
          <w:b/>
          <w:sz w:val="28"/>
          <w:szCs w:val="28"/>
        </w:rPr>
      </w:pPr>
      <w:r>
        <w:rPr>
          <w:rFonts w:eastAsia="宋体"/>
          <w:b/>
          <w:sz w:val="28"/>
          <w:szCs w:val="28"/>
        </w:rPr>
        <w:t>2）生态环境方面存在的问题</w:t>
      </w:r>
    </w:p>
    <w:p w14:paraId="24B6B46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（1）</w:t>
      </w:r>
      <w:r>
        <w:rPr>
          <w:rFonts w:hint="eastAsia" w:eastAsia="宋体"/>
          <w:sz w:val="28"/>
          <w:szCs w:val="28"/>
        </w:rPr>
        <w:t>部分水源地保护区内有交通路线穿越</w:t>
      </w:r>
    </w:p>
    <w:p w14:paraId="6904709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hint="eastAsia" w:eastAsia="宋体"/>
          <w:sz w:val="28"/>
          <w:szCs w:val="28"/>
        </w:rPr>
        <w:t>部分湖库型集中式饮用水水源地由于保护区划分滞后的影响，水源地保护区划分后，发现存在有已建交通线路穿越保护区的问题，交通线路的穿越对水源地的保护存在风险隐患</w:t>
      </w:r>
      <w:r>
        <w:rPr>
          <w:rFonts w:eastAsia="宋体"/>
          <w:sz w:val="28"/>
          <w:szCs w:val="28"/>
        </w:rPr>
        <w:t>。</w:t>
      </w:r>
    </w:p>
    <w:p w14:paraId="1FDAB09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（2）部分水源地保护区内面源污染问题突出</w:t>
      </w:r>
    </w:p>
    <w:p w14:paraId="442CDEA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湖库型水源地保护区在划分时考虑了对汇水区的保护，将汇水区划分二级保护区时，汇水区范围内的村庄和耕地不可避免地成为保护区的一部分。而聚居性的村庄和连片的耕地又是主要的面源污染源，农村居民产生的生活垃圾和生活污水、作物种植过程中使用的农药和化肥，成为水源地保护过程中潜在的污染源头。</w:t>
      </w:r>
    </w:p>
    <w:p w14:paraId="52553EB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（3）部分水源地未设立保护区界标标识</w:t>
      </w:r>
    </w:p>
    <w:p w14:paraId="0C6B41A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水源地保护区界标标识的设立用以明确保护边界，起到警示和提醒的作用，是保护饮用水水源地非常有效的管理手段和重要措施。根据调查分析，</w:t>
      </w:r>
      <w:r>
        <w:rPr>
          <w:rFonts w:hint="eastAsia" w:eastAsia="宋体"/>
          <w:sz w:val="28"/>
          <w:szCs w:val="28"/>
          <w:lang w:val="en-US" w:eastAsia="zh-CN"/>
        </w:rPr>
        <w:t>泽州县</w:t>
      </w:r>
      <w:r>
        <w:rPr>
          <w:rFonts w:hint="eastAsia" w:eastAsia="宋体"/>
          <w:sz w:val="28"/>
          <w:szCs w:val="28"/>
        </w:rPr>
        <w:t>部分水源地还未按要求设立界标标识、宣传牌等</w:t>
      </w:r>
      <w:r>
        <w:rPr>
          <w:rFonts w:eastAsia="宋体"/>
          <w:sz w:val="28"/>
          <w:szCs w:val="28"/>
        </w:rPr>
        <w:t>。</w:t>
      </w:r>
    </w:p>
    <w:p w14:paraId="2C631390">
      <w:pPr>
        <w:ind w:firstLine="562"/>
        <w:rPr>
          <w:rFonts w:eastAsia="宋体"/>
          <w:b/>
          <w:sz w:val="28"/>
          <w:szCs w:val="28"/>
        </w:rPr>
      </w:pPr>
      <w:r>
        <w:rPr>
          <w:rFonts w:eastAsia="宋体"/>
          <w:b/>
          <w:sz w:val="28"/>
          <w:szCs w:val="28"/>
        </w:rPr>
        <w:t>3）监控监测方面存在的问题</w:t>
      </w:r>
    </w:p>
    <w:p w14:paraId="1EFFDEF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（1）监控监测能力有待提高</w:t>
      </w:r>
    </w:p>
    <w:p w14:paraId="672DFCD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按照《全国重要饮用水水源地安全保障评估指南（试行）》，地表水水源地和地下水水源地监测频次需分别达到24次/年和12次/年；水源地安装视频监控，对取水口和重要供水工程设施进行24小时在线监控；取水口附近设置在线水质水量监测设施，并具有信息在线传输和分析的能力等。结合水源地现状建设情况，</w:t>
      </w:r>
      <w:r>
        <w:rPr>
          <w:rFonts w:hint="eastAsia" w:eastAsia="宋体"/>
          <w:sz w:val="28"/>
          <w:szCs w:val="28"/>
          <w:lang w:val="en-US" w:eastAsia="zh-CN"/>
        </w:rPr>
        <w:t>泽州县</w:t>
      </w:r>
      <w:r>
        <w:rPr>
          <w:rFonts w:hint="eastAsia" w:eastAsia="宋体"/>
          <w:sz w:val="28"/>
          <w:szCs w:val="28"/>
        </w:rPr>
        <w:t>大部分水源地还未完全达到上述建设标准要求，水源地监控监测能力有待进行提高。</w:t>
      </w:r>
    </w:p>
    <w:p w14:paraId="3DAF7D4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（2）欠缺应急监测能力</w:t>
      </w:r>
    </w:p>
    <w:p w14:paraId="4F9B055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目前</w:t>
      </w:r>
      <w:r>
        <w:rPr>
          <w:rFonts w:hint="eastAsia" w:eastAsia="宋体"/>
          <w:sz w:val="28"/>
          <w:szCs w:val="28"/>
          <w:lang w:val="en-US" w:eastAsia="zh-CN"/>
        </w:rPr>
        <w:t>泽州县</w:t>
      </w:r>
      <w:r>
        <w:rPr>
          <w:rFonts w:hint="eastAsia" w:eastAsia="宋体"/>
          <w:sz w:val="28"/>
          <w:szCs w:val="28"/>
        </w:rPr>
        <w:t>多数将水源地环境监测委托给第三方服务机构，多数不具备具有监测能力的实验室，既缺乏应急监测设备，又缺乏相关监测人员，应对突发环境污染事故监测能力不足</w:t>
      </w:r>
      <w:r>
        <w:rPr>
          <w:rFonts w:eastAsia="宋体"/>
          <w:sz w:val="28"/>
          <w:szCs w:val="28"/>
        </w:rPr>
        <w:t>。</w:t>
      </w:r>
    </w:p>
    <w:p w14:paraId="622C23ED">
      <w:pPr>
        <w:ind w:firstLine="562"/>
        <w:rPr>
          <w:rFonts w:eastAsia="宋体"/>
          <w:b/>
          <w:sz w:val="28"/>
          <w:szCs w:val="28"/>
        </w:rPr>
      </w:pPr>
      <w:r>
        <w:rPr>
          <w:rFonts w:eastAsia="宋体"/>
          <w:b/>
          <w:sz w:val="28"/>
          <w:szCs w:val="28"/>
        </w:rPr>
        <w:t>4）管理制度方面存在的问题</w:t>
      </w:r>
    </w:p>
    <w:p w14:paraId="51703A1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（1）部分水源地存在保护区划分不当的问题</w:t>
      </w:r>
    </w:p>
    <w:p w14:paraId="2434D04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eastAsia="zh-CN"/>
        </w:rPr>
        <w:t>乡镇级</w:t>
      </w:r>
      <w:r>
        <w:rPr>
          <w:rFonts w:hint="eastAsia" w:eastAsia="宋体"/>
          <w:sz w:val="28"/>
          <w:szCs w:val="28"/>
        </w:rPr>
        <w:t>以上水源地保护区划分基本遵照《饮用水水源保护区划分技术规范》（以下简称《规范》）划分，划分中发现《规范》中有关水源地类型、方法、计算参数等存在不适用于我省水源地保护区划分的情形。《规范》中将地下水按照埋藏条件分类为孔隙水、裂隙水和岩溶水三大类，岩溶水又根据成因分为岩溶裂隙网络型、峰林平原强径流带型、溶丘山地网络型、峰丛洼地管道型和断陷盆地构造型5中类型，</w:t>
      </w:r>
      <w:r>
        <w:rPr>
          <w:rFonts w:hint="eastAsia" w:eastAsia="宋体"/>
          <w:sz w:val="28"/>
          <w:szCs w:val="28"/>
          <w:lang w:val="en-US" w:eastAsia="zh-CN"/>
        </w:rPr>
        <w:t>泽州县</w:t>
      </w:r>
      <w:r>
        <w:rPr>
          <w:rFonts w:hint="eastAsia" w:eastAsia="宋体"/>
          <w:sz w:val="28"/>
          <w:szCs w:val="28"/>
        </w:rPr>
        <w:t>地下水类型基本以岩溶承压水为主，《规范》对于</w:t>
      </w:r>
      <w:r>
        <w:rPr>
          <w:rFonts w:hint="eastAsia" w:eastAsia="宋体"/>
          <w:sz w:val="28"/>
          <w:szCs w:val="28"/>
          <w:lang w:val="en-US" w:eastAsia="zh-CN"/>
        </w:rPr>
        <w:t>泽州县</w:t>
      </w:r>
      <w:r>
        <w:rPr>
          <w:rFonts w:hint="eastAsia" w:eastAsia="宋体"/>
          <w:sz w:val="28"/>
          <w:szCs w:val="28"/>
        </w:rPr>
        <w:t>普遍存在的泉水型、大口井、截潜流等类型水源地没有明确的划分方法。另外</w:t>
      </w:r>
      <w:r>
        <w:rPr>
          <w:rFonts w:hint="eastAsia" w:eastAsia="宋体"/>
          <w:sz w:val="28"/>
          <w:szCs w:val="28"/>
          <w:lang w:val="en-US" w:eastAsia="zh-CN"/>
        </w:rPr>
        <w:t>泽州县</w:t>
      </w:r>
      <w:r>
        <w:rPr>
          <w:rFonts w:hint="eastAsia" w:eastAsia="宋体"/>
          <w:sz w:val="28"/>
          <w:szCs w:val="28"/>
        </w:rPr>
        <w:t>岩溶大泉基本都是在其排泄区或泉口下游有阻水构造，将岩溶水盆地中的来水进行汇集，形成壅水，使地下水溢出地表，因而具有明显的承压上升泉性质。因此对岩溶大泉的保护不仅需对泉口进行划区保护，还需对补给区、径流区进行科学划区保护，避免因补给污染造成水源地水质恶化。在保护区划分过程中，存在二级保护区和准保护区划分面积过大，限制上游区域经济发展的情况，造成影响当地经济发展、管理难度较大，反而不利于保护的情形。</w:t>
      </w:r>
    </w:p>
    <w:p w14:paraId="107F6DC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（2）水源地立法保护不完备</w:t>
      </w:r>
    </w:p>
    <w:p w14:paraId="70D6C8B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lang w:val="en-US" w:eastAsia="zh-CN"/>
        </w:rPr>
        <w:t>泽州县</w:t>
      </w:r>
      <w:r>
        <w:rPr>
          <w:rFonts w:hint="eastAsia" w:eastAsia="宋体"/>
          <w:sz w:val="28"/>
          <w:szCs w:val="28"/>
        </w:rPr>
        <w:t>目前对水源地保护引用的法律条文主要是《中华人民共和国水法》、《中华人民共和国环境保护法》和《山西省水资源管理条例》等，以上法律条文主要从原则上规定应保护饮用水水源地，规定的内容均比较宏观，如《山西省水资源管理条例》虽然规定了饮用水水源保护区制度、饮用水水源地保护要求等相关水源地管理和保护内容，但其更多的是一部水资源管理与保护的法律条文，突出的是“水资源”而不是“水源地”，不是一部专门针对水源地管理和保护而制定的法律法规。</w:t>
      </w:r>
      <w:r>
        <w:rPr>
          <w:rFonts w:hint="eastAsia" w:eastAsia="宋体"/>
          <w:sz w:val="28"/>
          <w:szCs w:val="28"/>
          <w:lang w:eastAsia="zh-CN"/>
        </w:rPr>
        <w:t>我是目前</w:t>
      </w:r>
      <w:r>
        <w:rPr>
          <w:rFonts w:hint="eastAsia" w:eastAsia="宋体"/>
          <w:sz w:val="28"/>
          <w:szCs w:val="28"/>
        </w:rPr>
        <w:t>还未发布针对水源地管理和保护的相关法律法规，缺乏对水源地管理和保护的有力依据。</w:t>
      </w:r>
    </w:p>
    <w:p w14:paraId="7083595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（3）水源地保护缺乏公众参与</w:t>
      </w:r>
    </w:p>
    <w:p w14:paraId="55F681E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公众参与水源地保护是指公民、法人和其他组织自觉自愿参与水源地立法、执法、司法、守法等事务以及与水源地保护和改善等活动。公众参与水源地保护是维护和实现公民环境权益、加强生态文明建设、保障供水安全的重要途径。积极推动公众参与水源地保护，对创新水源地管理机制、提升管理能力和建设生态文明具有重要意义。</w:t>
      </w:r>
      <w:r>
        <w:rPr>
          <w:rFonts w:hint="eastAsia" w:eastAsia="宋体"/>
          <w:sz w:val="28"/>
          <w:szCs w:val="28"/>
          <w:lang w:val="en-US" w:eastAsia="zh-CN"/>
        </w:rPr>
        <w:t>泽州县</w:t>
      </w:r>
      <w:r>
        <w:rPr>
          <w:rFonts w:hint="eastAsia" w:eastAsia="宋体"/>
          <w:sz w:val="28"/>
          <w:szCs w:val="28"/>
        </w:rPr>
        <w:t>目前在水源地管理和保护方面的角色主要是政府和相关主管部门，缺乏公众力量的参与</w:t>
      </w:r>
      <w:r>
        <w:rPr>
          <w:rFonts w:eastAsia="宋体"/>
          <w:sz w:val="28"/>
          <w:szCs w:val="28"/>
        </w:rPr>
        <w:t>。</w:t>
      </w:r>
    </w:p>
    <w:p w14:paraId="747F53DC">
      <w:pPr>
        <w:pStyle w:val="6"/>
      </w:pPr>
      <w:r>
        <w:rPr>
          <w:rFonts w:hint="eastAsia"/>
          <w:lang w:val="en-US" w:eastAsia="zh-CN"/>
        </w:rPr>
        <w:t>8.3.3</w:t>
      </w:r>
      <w:r>
        <w:t>水源地保护措施</w:t>
      </w:r>
    </w:p>
    <w:p w14:paraId="7D584E6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为实现饮用水水源地“水量保证、水质合格、监控完备、制度健全”的目标要求，针对本次调查的饮用水水源地中在供水、生态环境、监控和管理保护等生产运行方面存在的实际问题，从水量、水质、监控和管理方面提出水源地保护措施。</w:t>
      </w:r>
    </w:p>
    <w:p w14:paraId="19BD194D">
      <w:pPr>
        <w:ind w:firstLine="562"/>
        <w:rPr>
          <w:rFonts w:eastAsia="宋体"/>
          <w:b/>
          <w:sz w:val="28"/>
          <w:szCs w:val="28"/>
        </w:rPr>
      </w:pPr>
      <w:r>
        <w:rPr>
          <w:rFonts w:eastAsia="宋体"/>
          <w:b/>
          <w:sz w:val="28"/>
          <w:szCs w:val="28"/>
        </w:rPr>
        <w:t>1）水量保证措施</w:t>
      </w:r>
    </w:p>
    <w:p w14:paraId="39014E5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（1）建立应急备用水源地</w:t>
      </w:r>
    </w:p>
    <w:p w14:paraId="126DC98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应急备用水源是抵御突发性污染事件、应对干旱等极端天气最有效的措施，要建立健全水资源战略储备体系，加强地下水应急水源地的勘测评价和储备工作，拟定应急和备用饮用水源方案，提出应急饮用水水源和储备水源工程建设项目。名录中的水源地均为县级</w:t>
      </w:r>
      <w:r>
        <w:rPr>
          <w:rFonts w:hint="eastAsia" w:eastAsia="宋体"/>
          <w:sz w:val="28"/>
          <w:szCs w:val="28"/>
          <w:lang w:eastAsia="zh-CN"/>
        </w:rPr>
        <w:t>或乡镇级</w:t>
      </w:r>
      <w:r>
        <w:rPr>
          <w:rFonts w:hint="eastAsia" w:eastAsia="宋体"/>
          <w:sz w:val="28"/>
          <w:szCs w:val="28"/>
        </w:rPr>
        <w:t>集中式饮用水水源地，供水规模较大、人口较多，部分水源地未建立应急备用水源地或应急备用水源地未具有完备的供水配套设施，对于未建立应急备用水源地的，可对原有关停或规划关停的水源地进行必要的修复和维护，并将其作为应急备用水源地，在原有的供水管网和取水设施基础上，结合地区水污染防治和水生态修复，逐步恢复其供水与储水功能；如供水区域位于缺水区，备用水源建设难度较大，可储备高效过滤等净水设备，发生水源污染时，可考虑将轻度污染水进行处理后饮用。对于已有应急备用水源地的，需尽快完善水源地的供水配套设施，以确保水源地能发挥抵御突发性污染事件、应对干旱等极端天气的作用</w:t>
      </w:r>
      <w:r>
        <w:rPr>
          <w:rFonts w:eastAsia="宋体"/>
          <w:sz w:val="28"/>
          <w:szCs w:val="28"/>
        </w:rPr>
        <w:t>。</w:t>
      </w:r>
    </w:p>
    <w:p w14:paraId="42466EE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（2）制定合理的调度方案</w:t>
      </w:r>
    </w:p>
    <w:p w14:paraId="5C940F4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制定合理的水资源调度方案，统筹规划利用各类型水源地，既保证水源地有效利用，又能达到涵养水源的目的。饮用水是人类生存的基本需求，流域和区域水资源的调度方案应优先满足饮用水供水要求，确保饮用水水源地供水保证率达到95%以上。同时为了增加安全性，应制订特殊情况下的区域水资源配置和供水联合调度方案，建立特枯年或连续干旱年的供水安全储备</w:t>
      </w:r>
      <w:r>
        <w:rPr>
          <w:rFonts w:eastAsia="宋体"/>
          <w:sz w:val="28"/>
          <w:szCs w:val="28"/>
        </w:rPr>
        <w:t>。</w:t>
      </w:r>
    </w:p>
    <w:p w14:paraId="3AB6A93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（3）定期完善供水设施</w:t>
      </w:r>
    </w:p>
    <w:p w14:paraId="3F0EC7B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水源地长期运行后，供水管道等供水设施老化，未进行必要的维护和更换，供水能力日渐减弱，对水源地饮水安全带来威胁，因此，应在水源地设立供水站，并配有专人管护，定期检查、维护和更新水源地的供水设施及配套设施，确保水泵、供水管网等供水设施及配套设施完好，取水和输水工程安全运行</w:t>
      </w:r>
      <w:r>
        <w:rPr>
          <w:rFonts w:eastAsia="宋体"/>
          <w:sz w:val="28"/>
          <w:szCs w:val="28"/>
        </w:rPr>
        <w:t>。</w:t>
      </w:r>
    </w:p>
    <w:p w14:paraId="4753D862">
      <w:pPr>
        <w:ind w:firstLine="562"/>
        <w:rPr>
          <w:rFonts w:eastAsia="宋体"/>
          <w:b/>
          <w:sz w:val="28"/>
          <w:szCs w:val="28"/>
        </w:rPr>
      </w:pPr>
      <w:r>
        <w:rPr>
          <w:rFonts w:eastAsia="宋体"/>
          <w:b/>
          <w:sz w:val="28"/>
          <w:szCs w:val="28"/>
        </w:rPr>
        <w:t>2）水质保护措施</w:t>
      </w:r>
    </w:p>
    <w:p w14:paraId="446FCE8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1</w:t>
      </w:r>
      <w:r>
        <w:rPr>
          <w:rFonts w:hint="eastAsia" w:eastAsia="宋体"/>
          <w:sz w:val="28"/>
          <w:szCs w:val="28"/>
        </w:rPr>
        <w:t>）保护区封闭管理及界标设立</w:t>
      </w:r>
    </w:p>
    <w:p w14:paraId="14076DC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名录中的水源地存在保护区未实行封闭管理或者未设立界标的情况，水源地一级保护区内通过在保护区边界设立物理或生物隔离设施，防止人类活动等对水源地保护和管理的干扰，拦截污染物直接进入水源保护区，隔离防护设施包括物理和生态防护两类，物理隔离防护设施如围栏，围网等，生态隔离防护设施如防护林、生态护坡等尽可能的实行封闭管理；按照《饮用水水源保护区标志技术要求》（HJ/T433—2008）在保护区边界设立明确的地理界标和明显的警示标志；在取水口和取水设施周边设置明显的具有保护性功能的隔离防护设施；另外可根据需要在适当位置设立饮用水水源保护区宣传牌，根据实际需求设计宣传牌上的图形和文字，如介绍当地饮用水水源地保护区的地形地貌、划分情况、保护现状、管理要求等。</w:t>
      </w:r>
    </w:p>
    <w:p w14:paraId="67DCA00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2</w:t>
      </w:r>
      <w:r>
        <w:rPr>
          <w:rFonts w:hint="eastAsia" w:eastAsia="宋体"/>
          <w:sz w:val="28"/>
          <w:szCs w:val="28"/>
        </w:rPr>
        <w:t>）入河排污口设置管理</w:t>
      </w:r>
    </w:p>
    <w:p w14:paraId="67DD97F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根据《中华人民共和国水法》、《中华人民共和国水污染防治法》和《山西省水污染防治条例》的规定，禁止在饮用水水源一、二级保护区内设置排污口，对已设置的入河排污口，应予以取缔；在准保护区内应严格限制设置入河排污口，污水排放应严格执行相关水质标准，确保排污量不增加。</w:t>
      </w:r>
    </w:p>
    <w:p w14:paraId="47F1DDC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3</w:t>
      </w:r>
      <w:r>
        <w:rPr>
          <w:rFonts w:hint="eastAsia" w:eastAsia="宋体"/>
          <w:sz w:val="28"/>
          <w:szCs w:val="28"/>
        </w:rPr>
        <w:t>）保护区综合治理</w:t>
      </w:r>
    </w:p>
    <w:p w14:paraId="6C81292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根据《中华人民共和国水法》、《中华人民共和国水污染防治法》和《山西省水污染防治条例》的有关规定，对水源保护区实施综合治理。</w:t>
      </w:r>
    </w:p>
    <w:p w14:paraId="72A2286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①饮用水水源一级保护区内，禁止新建、改建、扩建与供水设施和保护水源无关的建设项目，包括新建宅基，已建成的与供水设施和保护水源无关的建设项目，应由县级以上人民政府责令拆除或者关闭；禁止从事网箱养殖、旅游、游泳、垂钓或者其他可能污染饮用水水体的活动；禁止新增农业种植和经济林。</w:t>
      </w:r>
    </w:p>
    <w:p w14:paraId="0F46233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②饮用水水源二级保护区内，禁止新建、改建、扩建排放污染物的建设项目；禁止处置城镇生活垃圾；禁止建设未采取防渗漏措施的城镇生活垃圾转运站；禁止建设易溶性、有毒有害废弃物暂存和转运站，化工原料、危险化学品、矿物油类及有毒有害矿产品的堆放场所；从事网箱养殖、畜禽饲养场、旅游等活动的应按规定，采取措施防止污染饮用水水体；已建成的排放污染物的建设项目，由县级以上人民政府责令拆除或者关闭。</w:t>
      </w:r>
    </w:p>
    <w:p w14:paraId="11B4EFD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③饮用水水源准保护区内，禁止新建、扩建对水体污染严重的建设项目；禁止改建增加排污量的建设项目；禁止建设易溶性、有毒有害废弃物暂存和转运站；禁止从事采砂、毁林开荒等活动。对有可能影响饮用水源安全的污染企业，应建立风险源名录，定期进行检查。</w:t>
      </w:r>
    </w:p>
    <w:p w14:paraId="30A3A26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4</w:t>
      </w:r>
      <w:r>
        <w:rPr>
          <w:rFonts w:hint="eastAsia" w:eastAsia="宋体"/>
          <w:sz w:val="28"/>
          <w:szCs w:val="28"/>
        </w:rPr>
        <w:t>）面源污染治理</w:t>
      </w:r>
    </w:p>
    <w:p w14:paraId="3DF94CE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水源地保护区内依然有农田、经济林等分布，水源地的面源污染主要来自于农业生产中农药和化肥等的过度使用，应在有条件的区域实施封闭管理。一级保护区内以实施退耕还林还草为主，强化水源涵养工程建设，积极利用土地置换、农村土地承包经营权流转、生态补偿等多种方式，推进饮用水水源保护区退耕还林还草，从根本上解决水源保护区农业面源污染问题，对于保护区耕地短期内无法退耕还林还草，应采取禁止或者限制使用化肥、农药以及限制种植等措施。对水源地二级保护区内耕地，实施饮用水水源准保护区及上游生态农业系统工程，推广无公害农产品及有机食品，减少农药、化肥对水源的污染，推广农业先进适用技术，实施秸秆还田技术，有效地提高土壤质量和减少对饮用水水源污染，控制农业面源污染。对于暂时没有能力发展生态农业的区域，应推广科学合理施肥施药。根据气候、土壤类型，按作物对养分的吸收规律，科学预算作物需肥量中氮、磷、钾三要素配比，适时适量施肥，减少化肥在土壤中的淋失和污染科学施用农药，尽量选用药量小、高效、低毒、易降解的农药，禁止使用致畸、致癌、致突变的“三致”农药。</w:t>
      </w:r>
    </w:p>
    <w:p w14:paraId="52D7C27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5</w:t>
      </w:r>
      <w:r>
        <w:rPr>
          <w:rFonts w:hint="eastAsia" w:eastAsia="宋体"/>
          <w:sz w:val="28"/>
          <w:szCs w:val="28"/>
        </w:rPr>
        <w:t>）交通设施管理</w:t>
      </w:r>
    </w:p>
    <w:p w14:paraId="52033FE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保护区内有道路交通穿越的地表水饮用水水源地和潜水型地下水饮用水水源地，建设防撞护栏、事故导流槽和应急池等设施。存在危险品运输危险的水源地，对于水源保护区内的交通设施应实施严格的管理，设立水源地道路交通警示牌，并建立危险化学品运输管理制度，应及时实施公路改道或另选水源地，全面禁止在水源保护区公路运输危险品，以保证人们生活饮用水的安全。</w:t>
      </w:r>
    </w:p>
    <w:p w14:paraId="1CAC183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6</w:t>
      </w:r>
      <w:r>
        <w:rPr>
          <w:rFonts w:hint="eastAsia" w:eastAsia="宋体"/>
          <w:sz w:val="28"/>
          <w:szCs w:val="28"/>
        </w:rPr>
        <w:t>）实施保护区绿化工程</w:t>
      </w:r>
    </w:p>
    <w:p w14:paraId="2BC9D26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根据保护重要饮用水水源地实际需要，在保护区内采取退耕还林、建造湿地、水源涵养林等生态保护措施，提高植被覆盖率，防止污染物直接排入饮用水水体，确保饮用水安全。</w:t>
      </w:r>
    </w:p>
    <w:p w14:paraId="01BC4D0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w:t>
      </w:r>
      <w:r>
        <w:rPr>
          <w:rFonts w:hint="eastAsia" w:eastAsia="宋体"/>
          <w:sz w:val="28"/>
          <w:szCs w:val="28"/>
          <w:lang w:val="en-US" w:eastAsia="zh-CN"/>
        </w:rPr>
        <w:t>7</w:t>
      </w:r>
      <w:r>
        <w:rPr>
          <w:rFonts w:hint="eastAsia" w:eastAsia="宋体"/>
          <w:sz w:val="28"/>
          <w:szCs w:val="28"/>
        </w:rPr>
        <w:t>）农村生活垃圾处理处置</w:t>
      </w:r>
    </w:p>
    <w:p w14:paraId="35B55E6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利用土地置换等政策，鼓励保护区内居民迁出；对于没有能力搬迁的居民，应控制生活污染物排放，包括建设完善的污水收集与处理系统，旱厕防渗处理、垃圾集中回收处理，污水管网建设，禁止畜禽养殖等。</w:t>
      </w:r>
    </w:p>
    <w:p w14:paraId="2CC99FB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对于一级保护区内的生活垃圾，采用清运方式进行处置，将垃圾运出保护区后进行卫生填埋。</w:t>
      </w:r>
    </w:p>
    <w:p w14:paraId="752D03C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位于二级保护区内的农村居民，利用发展农村沼气的有关政策规定，鼓励农村沼气设施建设，减少生活垃圾对环境的污染。鼓励和倡导农村生产、生活垃圾分类收集，对不同类型的垃圾选择合适的处理处置方式。将可回收垃圾再利用，对有害垃圾进行无害化处理，避免就地堆放造成水源污染。开展农村医疗废物、废弃农药瓶、电池、电瓶等有毒有害固体废物回收工作，实行县政府出资回收、环保局集中处置，乡镇政府分片转运、村级环保协管员代收暂管的处理模式</w:t>
      </w:r>
      <w:r>
        <w:rPr>
          <w:rFonts w:eastAsia="宋体"/>
          <w:sz w:val="28"/>
          <w:szCs w:val="28"/>
        </w:rPr>
        <w:t>。</w:t>
      </w:r>
    </w:p>
    <w:p w14:paraId="648961E3">
      <w:pPr>
        <w:ind w:firstLine="562"/>
        <w:rPr>
          <w:rFonts w:eastAsia="宋体"/>
          <w:b/>
          <w:sz w:val="28"/>
          <w:szCs w:val="28"/>
        </w:rPr>
      </w:pPr>
      <w:r>
        <w:rPr>
          <w:rFonts w:eastAsia="宋体"/>
          <w:b/>
          <w:sz w:val="28"/>
          <w:szCs w:val="28"/>
        </w:rPr>
        <w:t>3）监控监测措施</w:t>
      </w:r>
    </w:p>
    <w:p w14:paraId="4AC5916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（1）完善常规监测</w:t>
      </w:r>
    </w:p>
    <w:p w14:paraId="48CDB3C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建立自动在线监控设施，对饮用水水源地取水口及重要供水工程设施实现24小时自动视频监控；建立巡查制度，饮用水水源一级保护区实行逐日巡查，二级保护区实行不定期巡查，并做好巡查记录；地表水水源地按照《地表水环境质量标准》（GB3838）规定的特定项目，每年至少进行1次定期排查性监测；湖库型饮用水水源地，还应按照《地表水资源质量评价技术规程》（SL395）规定的项目开展营养状况监测；地下水饮用水水源地按照《地下水监测规范》（SL183）有关规定，对水位和采补量进行定期监测；取水口附近水域实施水质水量在线监测；建立饮用水水源地水质水量安全监控信息系统，能够进行水量、水质、水位、流速等水文水资源监测信息采集、传输和分析处理。</w:t>
      </w:r>
    </w:p>
    <w:p w14:paraId="4E8B905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（2）加强应急监测</w:t>
      </w:r>
    </w:p>
    <w:p w14:paraId="58A8FA2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加强针对突发污染事件及藻华等水质异常现象的应急监测能力建设，建立突发事件预警机制，在日供水规模超过10万m</w:t>
      </w:r>
      <w:r>
        <w:rPr>
          <w:rFonts w:hint="eastAsia" w:eastAsia="宋体"/>
          <w:sz w:val="28"/>
          <w:szCs w:val="28"/>
          <w:vertAlign w:val="superscript"/>
        </w:rPr>
        <w:t>3</w:t>
      </w:r>
      <w:r>
        <w:rPr>
          <w:rFonts w:hint="eastAsia" w:eastAsia="宋体"/>
          <w:sz w:val="28"/>
          <w:szCs w:val="28"/>
        </w:rPr>
        <w:t>（含）的河流型水源地取水口上游两个小时及以上流程水域设置预警监控断面，跨省级及地市级行政区边界，主要支流入湖泊、水库口的上游，依据上游风险源的排放特征，优化监控指标和频次，预防突发性的水污染事件的发生，并在突发事件发生时，加密监测和增加监测项目，随时监测水污染事件的影响范围和程度，以便采取应急治理措施。</w:t>
      </w:r>
    </w:p>
    <w:p w14:paraId="3B5AA88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（3）建立水源地管理档案</w:t>
      </w:r>
    </w:p>
    <w:p w14:paraId="5C4269F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依据《集中式饮用水水源编码规范》（HJ747—2015）编制编码，建立饮用水水源地环境管理档案，做到“一源一档”，全面掌握全</w:t>
      </w:r>
      <w:r>
        <w:rPr>
          <w:rFonts w:hint="eastAsia" w:eastAsia="宋体"/>
          <w:sz w:val="28"/>
          <w:szCs w:val="28"/>
          <w:lang w:val="en-US" w:eastAsia="zh-CN"/>
        </w:rPr>
        <w:t>县</w:t>
      </w:r>
      <w:r>
        <w:rPr>
          <w:rFonts w:hint="eastAsia" w:eastAsia="宋体"/>
          <w:sz w:val="28"/>
          <w:szCs w:val="28"/>
        </w:rPr>
        <w:t>集中式饮用水水源地及保护区的基本情况，对水源环境状况实行动态评估。</w:t>
      </w:r>
    </w:p>
    <w:p w14:paraId="4718A31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（4）开展饮水安全风险评估</w:t>
      </w:r>
    </w:p>
    <w:p w14:paraId="5B369AA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应至少每5年组织开展1次饮用水水源地基础环境调查，了解饮用水水源地分布、服务人口等情况，综合考虑区域经济社会发展水平、水资源、水文地质等因素，排查影响饮用水水源地环境风险源，并对水源保护范围内污染状况进行综合评估，建立水源地动态数据库。开展水源地饮水安全风险评估，分析影响饮用水水源地安全的主要潜在风险源，建立水源地饮水安全风险评估模型，改善水源地生态环境，保障饮水安全</w:t>
      </w:r>
      <w:r>
        <w:rPr>
          <w:rFonts w:eastAsia="宋体"/>
          <w:sz w:val="28"/>
          <w:szCs w:val="28"/>
        </w:rPr>
        <w:t>。</w:t>
      </w:r>
    </w:p>
    <w:p w14:paraId="32CBD9C6">
      <w:pPr>
        <w:ind w:firstLine="562"/>
        <w:rPr>
          <w:rFonts w:eastAsia="宋体"/>
          <w:b/>
          <w:sz w:val="28"/>
          <w:szCs w:val="28"/>
        </w:rPr>
      </w:pPr>
      <w:r>
        <w:rPr>
          <w:rFonts w:eastAsia="宋体"/>
          <w:b/>
          <w:sz w:val="28"/>
          <w:szCs w:val="28"/>
        </w:rPr>
        <w:t>4）综合管理措施</w:t>
      </w:r>
    </w:p>
    <w:p w14:paraId="1DDE6ED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（1）合理划分保护区</w:t>
      </w:r>
    </w:p>
    <w:p w14:paraId="6A0308F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对于尚未划定保护区或需重新调整保护区的水源地，应依据《饮用水水源保护区划分技术规范》等有关标准规范，根据《中华人民共和国水污染防治法》的规定，划分饮用水水源保护区。由县人民政府提出划定方案，报省人民政府批准；跨县饮用水水源保护区的划定，由县人民政府协商提出划定方案，报省人民政府批准；协商不成的，由省人民政府环境保护主管部门会同同级水行政、国土资源、卫生、建设等部门提出划定方案，征求同级有关部门的意见后，报省人民政府批准。</w:t>
      </w:r>
    </w:p>
    <w:p w14:paraId="1A2860E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（2）建立部门联动机制</w:t>
      </w:r>
    </w:p>
    <w:p w14:paraId="62E23DE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水源地安全问题是牵涉利益群体众多、突发性、复杂性的问题，涉及到水利、环保、城建等多个部门，建立合理高效的部门联动机制，形成责任明确、协调有序、监管严格、保护有力的长效工作机制，建立污染防治联动体系，相邻地区或上下游地区应建立监测预警、信息沟通及联席会议机制，一旦发生突发水环境污染事件或存在重大水环境隐患，应立即通知相邻区域或上下游政府及环保部门，及时对水源地污染采取措施，启动应急预案，跨区域、跨部门整合资源，实现资源共享，通过统一指挥、联合行动的方式形成问题处理的规模收益和集成效应。</w:t>
      </w:r>
    </w:p>
    <w:p w14:paraId="6956755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（3）建立水源地保护的法规体系</w:t>
      </w:r>
    </w:p>
    <w:p w14:paraId="0B99039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现有的饮用水水源地保护的法律条文都是散见于相关的法律中，如《水污染防治法》、《水法》等以单独的章节或条款来规范饮用水水源地的保护，而没有关于饮用水水源地保护的专门立法，因此应制定饮用水水源地保护的相关法规、规章或办法，如单独制定专门的《饮用水保护法》或者《饮用水安全法》等，通过专门立法的方式来修改和完善现行饮用水水源地保护法律规范的不足之处，对饮用水资源保护的内容进行详细的规定，修改各行政法规以及部门规章中相互冲突不一致的规定，以协调各部门之间的相关工作，让相关法规规章更具可操作性，使饮用水水源地得到真正意义上全面的保护。</w:t>
      </w:r>
    </w:p>
    <w:p w14:paraId="0955AC3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（4）制定应急预案</w:t>
      </w:r>
    </w:p>
    <w:p w14:paraId="0854455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根据《国家突发公共事件总体应急预案》，制定应对突发水污染事件、洪水和干旱等特殊条件下供水安全保障的应急预案，完善饮用水水源地应急预案内容，主要包括监测和预警、应急处置两个大的方面。监测和预警即将有关主管部门的各项工作的内容予以细化并加以完善，如监测地点、监测时间、监测内容、预警信息的发布、报告以及通报等，以保证能够在突发事件尚未发生或发生之初就得到有效的遏制。应急处置由各地政府统一领导并组织实施，成立供水应急领导小组，根据应急工作需要，成立供水应急领导小组办公室，负责对水源供水应急事件组织协调、决策指挥和处置，及时有效的开展各项紧急处置的工作，以最大限度的减少损失。加强对预案管理工作的领导和督促检查，每年至少开展一次应急演练。建立应对突发事件的人员、物资储备机制和技术保障体系。各行业、各单位的预案体系，做好各级、各类相关预案的</w:t>
      </w:r>
      <w:r>
        <w:rPr>
          <w:rFonts w:hint="eastAsia" w:eastAsia="宋体"/>
          <w:sz w:val="28"/>
          <w:szCs w:val="28"/>
          <w:lang w:val="en-US" w:eastAsia="zh-CN"/>
        </w:rPr>
        <w:t>衔</w:t>
      </w:r>
      <w:bookmarkStart w:id="192" w:name="_GoBack"/>
      <w:bookmarkEnd w:id="192"/>
      <w:r>
        <w:rPr>
          <w:rFonts w:hint="eastAsia" w:eastAsia="宋体"/>
          <w:sz w:val="28"/>
          <w:szCs w:val="28"/>
        </w:rPr>
        <w:t>接工作，并建立技术、物资和人员保障系统，成立由政府行政长官任组长的供水应急领导小组，健全指挥机构及应急机制，加强对供水应急事件的组织协调、决策指挥和处置，提高政府应对涉及公共危机的饮用水突发事件的能力。</w:t>
      </w:r>
    </w:p>
    <w:p w14:paraId="7D52417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（5）管理队伍建设</w:t>
      </w:r>
    </w:p>
    <w:p w14:paraId="63EEA1F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重要饮用水水源地的管理和保护应配备专职管理人员，细化专职管理人员管护职责，根据实际情况明确管护范围、内容、记录、报告等；遵循公开、公平、公正、择优的原则，选聘专职管理人员；强化队伍管理，加强技术人员培训、指导、管理、培训、考评等，提高监测能力和水平；落实工作经费，专职管理人员的劳务报酬、培训经费、日常巡查设备购置经费等列入财政预算，确保及时落实到位。</w:t>
      </w:r>
    </w:p>
    <w:p w14:paraId="5D20B13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（6）建立资金保障机制</w:t>
      </w:r>
    </w:p>
    <w:p w14:paraId="1A8AC70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财政投入力度加大，建立水源地管理、保护的专项基金，用于对水源地的管理和生态环境的保护。通过提供优惠政策、购买服务等的方式，引入市场资本，依靠专业技术治理遭受污染的水源。建立水源生态补偿机制和水源保护机制，本着谁破坏水源地谁负责，谁保护水源地谁得到补偿的原则。完善各级职能部门对水源地保护相关项目的资金扶持机制，有关部门在安排城镇基础建设、节能减排、现代农业、生态林业、退耕还林等项目资金时，应优先考虑位于保护区内的乡镇农村，对其在政策制定给予一定的倾斜。</w:t>
      </w:r>
    </w:p>
    <w:p w14:paraId="43401DE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（7）加强公众参与</w:t>
      </w:r>
    </w:p>
    <w:p w14:paraId="57005C9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充分利用电视、网络、手册等多种媒介，加强对城镇集中式饮用水水源地环境保护宣传教育，积极宣传饮用水水源地保护的法律法规、规划，组织开展以保护饮用水水源地安全为主题的宣传活动，公开环境执法典型案例，增强社会公众的环境保护意识，鼓励和引导公众和社会团体有序地参与水源地的保护工作。</w:t>
      </w:r>
    </w:p>
    <w:p w14:paraId="0B6BEA4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（8）实现饮用水水源信息公开</w:t>
      </w:r>
    </w:p>
    <w:p w14:paraId="0330655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建立健全水源地环境信息共享与公开制度，完善饮用水水源地信息化管理平台，发挥政府环境信息网站作用，实行水源地环境保护公告制度，定期发布饮用水源水质等信息，逐步实现污染源、水源地和人群健康资料等有关信息的共享，使公众及时了解饮用水源质量状况，唤起全社会关心、重视和保护饮用水水源，引导公众参与和支持饮用水水源保护</w:t>
      </w:r>
      <w:r>
        <w:rPr>
          <w:rFonts w:eastAsia="宋体"/>
          <w:sz w:val="28"/>
          <w:szCs w:val="28"/>
        </w:rPr>
        <w:t>。</w:t>
      </w:r>
    </w:p>
    <w:p w14:paraId="53F2AA4B">
      <w:pPr>
        <w:ind w:firstLine="562"/>
        <w:rPr>
          <w:rFonts w:eastAsia="宋体"/>
          <w:b/>
          <w:sz w:val="28"/>
          <w:szCs w:val="28"/>
        </w:rPr>
      </w:pPr>
      <w:r>
        <w:rPr>
          <w:rFonts w:eastAsia="宋体"/>
          <w:b/>
          <w:sz w:val="28"/>
          <w:szCs w:val="28"/>
        </w:rPr>
        <w:t>5）重要饮用水水源地达标建设方案</w:t>
      </w:r>
    </w:p>
    <w:p w14:paraId="48D6DD5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饮用水安全关系到人民群众的生命健康和社会的和谐稳定。为贯彻落实《中共中央国务院关于加快水利改革发展的决定》（中发〔2011〕1号）精神，实行最严格的水资源管理制度，保障饮用水安全，进一步推动水源地保护工作，应对</w:t>
      </w:r>
      <w:r>
        <w:rPr>
          <w:rFonts w:hint="eastAsia" w:eastAsia="宋体"/>
          <w:sz w:val="28"/>
          <w:szCs w:val="28"/>
          <w:lang w:eastAsia="zh-CN"/>
        </w:rPr>
        <w:t>晋城市市</w:t>
      </w:r>
      <w:r>
        <w:rPr>
          <w:rFonts w:hint="eastAsia" w:eastAsia="宋体"/>
          <w:sz w:val="28"/>
          <w:szCs w:val="28"/>
        </w:rPr>
        <w:t>级重要饮用水水源地开展安全体系达标建设工作。主要包括：</w:t>
      </w:r>
    </w:p>
    <w:p w14:paraId="1271CAF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（1）参照《全国重要饮用水水源地安全保障达标建设实施方案》的要求，开展</w:t>
      </w:r>
      <w:r>
        <w:rPr>
          <w:rFonts w:hint="eastAsia" w:eastAsia="宋体"/>
          <w:sz w:val="28"/>
          <w:szCs w:val="28"/>
          <w:lang w:val="en-US" w:eastAsia="zh-CN"/>
        </w:rPr>
        <w:t>泽州县</w:t>
      </w:r>
      <w:r>
        <w:rPr>
          <w:rFonts w:hint="eastAsia" w:eastAsia="宋体"/>
          <w:sz w:val="28"/>
          <w:szCs w:val="28"/>
        </w:rPr>
        <w:t>第一批重要饮用水水源地安全保障达标建设工作，通过工程措施和非工程措施，使重要饮用水水源地达到“水量保证、水质合格、监控完善、制度健全”，逐步建立完善</w:t>
      </w:r>
      <w:r>
        <w:rPr>
          <w:rFonts w:hint="eastAsia" w:eastAsia="宋体"/>
          <w:sz w:val="28"/>
          <w:szCs w:val="28"/>
          <w:lang w:val="en-US" w:eastAsia="zh-CN"/>
        </w:rPr>
        <w:t>泽州县</w:t>
      </w:r>
      <w:r>
        <w:rPr>
          <w:rFonts w:hint="eastAsia" w:eastAsia="宋体"/>
          <w:sz w:val="28"/>
          <w:szCs w:val="28"/>
        </w:rPr>
        <w:t>重要饮用水水源地安全保障体系。</w:t>
      </w:r>
    </w:p>
    <w:p w14:paraId="0EF4BE7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（2）水量保证</w:t>
      </w:r>
    </w:p>
    <w:p w14:paraId="763E472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①供水保证率达到95%以上，流域和区域调度应有优先满足饮用水供水要求的调度配置方案，确保相应保证率下取水工程正常运行的水量和水位；</w:t>
      </w:r>
    </w:p>
    <w:p w14:paraId="417C503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②供水设施完好，取水和输水工程运行安全；取水口处河势稳定；</w:t>
      </w:r>
    </w:p>
    <w:p w14:paraId="0926D3A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③地下水水源地采补基本平衡，长期开采不产生明显的地质和生态环境问题。</w:t>
      </w:r>
    </w:p>
    <w:p w14:paraId="7B82134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（3）水质保障</w:t>
      </w:r>
    </w:p>
    <w:p w14:paraId="76259D8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①地表水饮用水水源地取水口供水水质达到或优于《地表水环境质量标准》（GB3838—2002）Ⅲ类标准（按基本项目和补充项目评价）；</w:t>
      </w:r>
    </w:p>
    <w:p w14:paraId="49584E5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②地下水饮用水水源地供水水质达到或优于《地下水质量标准》（GB/T14848—2017）Ⅲ类标准；</w:t>
      </w:r>
    </w:p>
    <w:p w14:paraId="5412D0B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③开展水源地区域和保护区的综合治理。</w:t>
      </w:r>
    </w:p>
    <w:p w14:paraId="73A5047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（4）监控完善</w:t>
      </w:r>
    </w:p>
    <w:p w14:paraId="6F2330C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①逐步实现对饮用水水源地安全的全方位监控；</w:t>
      </w:r>
    </w:p>
    <w:p w14:paraId="22F43DB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②常规性和排查性监测相结合，形成较为完善的监测体系；</w:t>
      </w:r>
    </w:p>
    <w:p w14:paraId="7BF0453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③逐步具备一定的信息管理和应急监测能力。</w:t>
      </w:r>
    </w:p>
    <w:p w14:paraId="6CFF993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（5）综合管理</w:t>
      </w:r>
    </w:p>
    <w:p w14:paraId="18241EE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①重要饮用水水源地的管理和保护应配备专职管理人员，落实工作经费；</w:t>
      </w:r>
    </w:p>
    <w:p w14:paraId="4574180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②建立水源地安全保障部门联动机制，实行资源共享和重大事项会商制度；</w:t>
      </w:r>
    </w:p>
    <w:p w14:paraId="5E8F9D6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③完善饮用水水源保护区综合治理；</w:t>
      </w:r>
    </w:p>
    <w:p w14:paraId="50ECC05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④制定饮用水水源地保护的相关法规、规章或办法，经批准实施；</w:t>
      </w:r>
    </w:p>
    <w:p w14:paraId="69D0473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⑤建立稳定的饮用水水源地保护资金投入机制；</w:t>
      </w:r>
    </w:p>
    <w:p w14:paraId="73F2EBC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⑦完善饮用水水源地监测设施，加强技术人员培训，提高监测能力和水平；</w:t>
      </w:r>
    </w:p>
    <w:p w14:paraId="7AF8AC3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⑧制定应对突发水污染事件、洪水和干旱等特殊条件下供水安全保障的应急预案；</w:t>
      </w:r>
    </w:p>
    <w:p w14:paraId="138824F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⑨建立应对突发事件的人员、物资储备机制和技术保障体系；</w:t>
      </w:r>
    </w:p>
    <w:p w14:paraId="2B6F058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hint="eastAsia" w:eastAsia="宋体"/>
          <w:sz w:val="28"/>
          <w:szCs w:val="28"/>
        </w:rPr>
        <w:t>⑩实行定期演练制度，建立健全有效的预警机制等</w:t>
      </w:r>
      <w:r>
        <w:rPr>
          <w:rFonts w:eastAsia="宋体"/>
          <w:sz w:val="28"/>
          <w:szCs w:val="28"/>
        </w:rPr>
        <w:t>。</w:t>
      </w:r>
    </w:p>
    <w:p w14:paraId="795221A3">
      <w:pPr>
        <w:pStyle w:val="5"/>
        <w:rPr>
          <w:rFonts w:hint="default" w:eastAsia="黑体"/>
          <w:lang w:val="en-US" w:eastAsia="zh-CN"/>
        </w:rPr>
      </w:pPr>
      <w:bookmarkStart w:id="161" w:name="_Toc22108751"/>
      <w:bookmarkStart w:id="162" w:name="_Toc19845"/>
      <w:bookmarkStart w:id="163" w:name="_Toc24734"/>
      <w:bookmarkStart w:id="164" w:name="_Toc36060146"/>
      <w:r>
        <w:rPr>
          <w:rFonts w:hint="eastAsia"/>
          <w:lang w:val="en-US" w:eastAsia="zh-CN"/>
        </w:rPr>
        <w:t>8.4</w:t>
      </w:r>
      <w:r>
        <w:t>地下水</w:t>
      </w:r>
      <w:bookmarkEnd w:id="161"/>
      <w:bookmarkEnd w:id="162"/>
      <w:bookmarkEnd w:id="163"/>
      <w:bookmarkEnd w:id="164"/>
      <w:r>
        <w:rPr>
          <w:rFonts w:hint="eastAsia"/>
          <w:lang w:val="en-US" w:eastAsia="zh-CN"/>
        </w:rPr>
        <w:t>保护措施</w:t>
      </w:r>
    </w:p>
    <w:p w14:paraId="5B72D693">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val="en-US" w:eastAsia="zh-CN"/>
        </w:rPr>
        <w:t>泽州县</w:t>
      </w:r>
      <w:r>
        <w:rPr>
          <w:rFonts w:hint="default" w:ascii="Times New Roman" w:hAnsi="Times New Roman" w:eastAsia="宋体" w:cs="Times New Roman"/>
          <w:color w:val="auto"/>
          <w:kern w:val="0"/>
          <w:szCs w:val="28"/>
          <w:shd w:val="clear" w:color="auto" w:fill="FFFFFF"/>
          <w:lang w:eastAsia="zh-CN"/>
        </w:rPr>
        <w:t>地下水主要分布在三姑泉域，三姑泉域面积 2571km2 。多年来由于降水量的减少和开采量的不断增加，岩溶地下水位呈下降趋势。据水位统测资料，20 世纪 70 年代至 2003 年，三姑泉域内岩溶地下水位呈现快速下降的趋势，2003 年后呈现波动变化趋势。岩溶大泉保护应重点实施水源置换、三姑泉域煤矿限采禁采、污染源综合治理、废井及废弃钻孔封堵等措施，遏制泉水衰减和水质恶化，促使地下水资源合理开发与可持续利用。</w:t>
      </w:r>
    </w:p>
    <w:p w14:paraId="0C2A5350">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bookmarkStart w:id="165" w:name="_Toc30898"/>
      <w:bookmarkStart w:id="166" w:name="_Toc10543"/>
      <w:bookmarkStart w:id="167" w:name="_Toc17044"/>
      <w:r>
        <w:rPr>
          <w:rFonts w:hint="eastAsia" w:ascii="Times New Roman" w:hAnsi="Times New Roman" w:eastAsia="宋体" w:cs="Times New Roman"/>
          <w:color w:val="auto"/>
          <w:kern w:val="0"/>
          <w:szCs w:val="28"/>
          <w:shd w:val="clear" w:color="auto" w:fill="FFFFFF"/>
          <w:lang w:val="en-US" w:eastAsia="zh-CN"/>
        </w:rPr>
        <w:t>1、</w:t>
      </w:r>
      <w:r>
        <w:rPr>
          <w:rFonts w:hint="default" w:ascii="Times New Roman" w:hAnsi="Times New Roman" w:eastAsia="宋体" w:cs="Times New Roman"/>
          <w:color w:val="auto"/>
          <w:kern w:val="0"/>
          <w:szCs w:val="28"/>
          <w:shd w:val="clear" w:color="auto" w:fill="FFFFFF"/>
          <w:lang w:val="en-US" w:eastAsia="zh-CN"/>
        </w:rPr>
        <w:t>岩溶泉保护</w:t>
      </w:r>
      <w:bookmarkEnd w:id="165"/>
      <w:bookmarkEnd w:id="166"/>
      <w:bookmarkEnd w:id="167"/>
    </w:p>
    <w:p w14:paraId="5DB50D34">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对泉域区进行保护，根据《山西省泉域水资源保护条例》、《山西省泉域边界范围及重点保护区》，明确晋城市城郊中型岩溶水超采区分布于晋城市城郊，包括巴公、北石店及市区三个水源地，超采区面积178km</w:t>
      </w:r>
      <w:r>
        <w:rPr>
          <w:rFonts w:hint="default" w:ascii="Times New Roman" w:hAnsi="Times New Roman" w:eastAsia="宋体" w:cs="Times New Roman"/>
          <w:color w:val="auto"/>
          <w:kern w:val="0"/>
          <w:szCs w:val="28"/>
          <w:shd w:val="clear" w:color="auto" w:fill="FFFFFF"/>
          <w:vertAlign w:val="superscript"/>
          <w:lang w:eastAsia="zh-CN"/>
        </w:rPr>
        <w:t>2</w:t>
      </w:r>
      <w:r>
        <w:rPr>
          <w:rFonts w:hint="default" w:ascii="Times New Roman" w:hAnsi="Times New Roman" w:eastAsia="宋体" w:cs="Times New Roman"/>
          <w:color w:val="auto"/>
          <w:kern w:val="0"/>
          <w:szCs w:val="28"/>
          <w:shd w:val="clear" w:color="auto" w:fill="FFFFFF"/>
          <w:lang w:eastAsia="zh-CN"/>
        </w:rPr>
        <w:t>。在泉域内实施植树造林、水土保持、小流域治理等工程，增加地下水补给量，涵养水源，改善水生态环境。禁止向泉域、水源地排放污水，禁止倾倒工程和生活垃圾及废渣，设立重点保护边界标识牌，确保泉域水源地的水量和水质优良。</w:t>
      </w:r>
    </w:p>
    <w:p w14:paraId="721936E7">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p>
    <w:p w14:paraId="726064CD">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drawing>
          <wp:inline distT="0" distB="0" distL="114300" distR="114300">
            <wp:extent cx="5182235" cy="6635750"/>
            <wp:effectExtent l="0" t="0" r="18415" b="1270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5"/>
                    <a:stretch>
                      <a:fillRect/>
                    </a:stretch>
                  </pic:blipFill>
                  <pic:spPr>
                    <a:xfrm>
                      <a:off x="0" y="0"/>
                      <a:ext cx="5182235" cy="6635750"/>
                    </a:xfrm>
                    <a:prstGeom prst="rect">
                      <a:avLst/>
                    </a:prstGeom>
                    <a:noFill/>
                    <a:ln>
                      <a:noFill/>
                    </a:ln>
                  </pic:spPr>
                </pic:pic>
              </a:graphicData>
            </a:graphic>
          </wp:inline>
        </w:drawing>
      </w:r>
    </w:p>
    <w:p w14:paraId="2DA3A75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drawing>
          <wp:inline distT="0" distB="0" distL="0" distR="0">
            <wp:extent cx="5012055" cy="261620"/>
            <wp:effectExtent l="0" t="0" r="17145" b="508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6"/>
                    <a:stretch>
                      <a:fillRect/>
                    </a:stretch>
                  </pic:blipFill>
                  <pic:spPr>
                    <a:xfrm>
                      <a:off x="0" y="0"/>
                      <a:ext cx="5012435" cy="262128"/>
                    </a:xfrm>
                    <a:prstGeom prst="rect">
                      <a:avLst/>
                    </a:prstGeom>
                  </pic:spPr>
                </pic:pic>
              </a:graphicData>
            </a:graphic>
          </wp:inline>
        </w:drawing>
      </w:r>
    </w:p>
    <w:p w14:paraId="2F471A4F">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jc w:val="center"/>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 xml:space="preserve">图 </w:t>
      </w:r>
      <w:r>
        <w:rPr>
          <w:rFonts w:hint="eastAsia" w:ascii="Times New Roman" w:hAnsi="Times New Roman" w:eastAsia="宋体" w:cs="Times New Roman"/>
          <w:color w:val="auto"/>
          <w:kern w:val="0"/>
          <w:szCs w:val="28"/>
          <w:shd w:val="clear" w:color="auto" w:fill="FFFFFF"/>
          <w:lang w:val="en-US" w:eastAsia="zh-CN"/>
        </w:rPr>
        <w:t xml:space="preserve"> </w:t>
      </w:r>
      <w:r>
        <w:rPr>
          <w:rFonts w:hint="default" w:ascii="Times New Roman" w:hAnsi="Times New Roman" w:eastAsia="宋体" w:cs="Times New Roman"/>
          <w:color w:val="auto"/>
          <w:kern w:val="0"/>
          <w:szCs w:val="28"/>
          <w:shd w:val="clear" w:color="auto" w:fill="FFFFFF"/>
          <w:lang w:eastAsia="zh-CN"/>
        </w:rPr>
        <w:t>三姑泉域图</w:t>
      </w:r>
    </w:p>
    <w:p w14:paraId="37121AE2">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bookmarkStart w:id="168" w:name="_bookmark27"/>
      <w:bookmarkEnd w:id="168"/>
    </w:p>
    <w:p w14:paraId="125ECA2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1）地下水关井压采</w:t>
      </w:r>
    </w:p>
    <w:p w14:paraId="3A34B268">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三姑泉域，在超采区和地表水供水覆盖区，实行地下水水源置换，实行地下水关井压采工程，促使地下水水位止降回升，制止三姑泉、郭壁泉的衰竭，促使地下岩溶水资源的合理开发与可持续利用。</w:t>
      </w:r>
    </w:p>
    <w:p w14:paraId="0B6AC83F">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近年来，随着泽州县经济的高速发展，用水量逐年加大，地下水过度开采，为了进一步加强区域地下水资源管理，合理开发、利用、节约和保护水资源，晋城市水务局在2014年下发了《晋城市水务局关于暂停岩溶深井审批的通知》（晋市水〔2014〕5号）文件进而进一步加强岩溶水资源的保护。</w:t>
      </w:r>
    </w:p>
    <w:p w14:paraId="44344B9E">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根据相关文件的要求，晋城市在2014年~2019年对三姑泉域地下水实施了地下水水源置换及关井压采等措施。泽州县2015年关闭水井总数10眼（其中深井3眼、中层井7眼），压采水量500万m3；2016年关闭水井总数11眼（其中深井0眼、中层井11眼），压采水量350万m</w:t>
      </w:r>
      <w:r>
        <w:rPr>
          <w:rFonts w:hint="default" w:ascii="Times New Roman" w:hAnsi="Times New Roman" w:eastAsia="宋体" w:cs="Times New Roman"/>
          <w:color w:val="auto"/>
          <w:kern w:val="0"/>
          <w:szCs w:val="28"/>
          <w:shd w:val="clear" w:color="auto" w:fill="FFFFFF"/>
          <w:vertAlign w:val="superscript"/>
          <w:lang w:val="en-US" w:eastAsia="zh-CN"/>
        </w:rPr>
        <w:t>3</w:t>
      </w:r>
      <w:r>
        <w:rPr>
          <w:rFonts w:hint="default" w:ascii="Times New Roman" w:hAnsi="Times New Roman" w:eastAsia="宋体" w:cs="Times New Roman"/>
          <w:color w:val="auto"/>
          <w:kern w:val="0"/>
          <w:szCs w:val="28"/>
          <w:shd w:val="clear" w:color="auto" w:fill="FFFFFF"/>
          <w:lang w:val="en-US" w:eastAsia="zh-CN"/>
        </w:rPr>
        <w:t>；2017年关闭水井总数4眼（其中深井1眼、中层井3眼），压采水量200万m</w:t>
      </w:r>
      <w:r>
        <w:rPr>
          <w:rFonts w:hint="default" w:ascii="Times New Roman" w:hAnsi="Times New Roman" w:eastAsia="宋体" w:cs="Times New Roman"/>
          <w:color w:val="auto"/>
          <w:kern w:val="0"/>
          <w:szCs w:val="28"/>
          <w:shd w:val="clear" w:color="auto" w:fill="FFFFFF"/>
          <w:vertAlign w:val="superscript"/>
          <w:lang w:val="en-US" w:eastAsia="zh-CN"/>
        </w:rPr>
        <w:t>3</w:t>
      </w:r>
      <w:r>
        <w:rPr>
          <w:rFonts w:hint="default" w:ascii="Times New Roman" w:hAnsi="Times New Roman" w:eastAsia="宋体" w:cs="Times New Roman"/>
          <w:color w:val="auto"/>
          <w:kern w:val="0"/>
          <w:szCs w:val="28"/>
          <w:shd w:val="clear" w:color="auto" w:fill="FFFFFF"/>
          <w:lang w:val="en-US" w:eastAsia="zh-CN"/>
        </w:rPr>
        <w:t>；2018年关闭水井总数4眼（其中深井0眼、中层井4眼），压采水量200万m</w:t>
      </w:r>
      <w:r>
        <w:rPr>
          <w:rFonts w:hint="default" w:ascii="Times New Roman" w:hAnsi="Times New Roman" w:eastAsia="宋体" w:cs="Times New Roman"/>
          <w:color w:val="auto"/>
          <w:kern w:val="0"/>
          <w:szCs w:val="28"/>
          <w:shd w:val="clear" w:color="auto" w:fill="FFFFFF"/>
          <w:vertAlign w:val="superscript"/>
          <w:lang w:val="en-US" w:eastAsia="zh-CN"/>
        </w:rPr>
        <w:t>3</w:t>
      </w:r>
      <w:r>
        <w:rPr>
          <w:rFonts w:hint="default" w:ascii="Times New Roman" w:hAnsi="Times New Roman" w:eastAsia="宋体" w:cs="Times New Roman"/>
          <w:color w:val="auto"/>
          <w:kern w:val="0"/>
          <w:szCs w:val="28"/>
          <w:shd w:val="clear" w:color="auto" w:fill="FFFFFF"/>
          <w:lang w:val="en-US" w:eastAsia="zh-CN"/>
        </w:rPr>
        <w:t>；2019年关闭水井总数5眼（其中深井1眼、中层井4眼），压采水量200万m</w:t>
      </w:r>
      <w:r>
        <w:rPr>
          <w:rFonts w:hint="default" w:ascii="Times New Roman" w:hAnsi="Times New Roman" w:eastAsia="宋体" w:cs="Times New Roman"/>
          <w:color w:val="auto"/>
          <w:kern w:val="0"/>
          <w:szCs w:val="28"/>
          <w:shd w:val="clear" w:color="auto" w:fill="FFFFFF"/>
          <w:vertAlign w:val="superscript"/>
          <w:lang w:val="en-US" w:eastAsia="zh-CN"/>
        </w:rPr>
        <w:t>3</w:t>
      </w:r>
      <w:r>
        <w:rPr>
          <w:rFonts w:hint="default" w:ascii="Times New Roman" w:hAnsi="Times New Roman" w:eastAsia="宋体" w:cs="Times New Roman"/>
          <w:color w:val="auto"/>
          <w:kern w:val="0"/>
          <w:szCs w:val="28"/>
          <w:shd w:val="clear" w:color="auto" w:fill="FFFFFF"/>
          <w:lang w:val="en-US" w:eastAsia="zh-CN"/>
        </w:rPr>
        <w:t>。合计关闭水井总数34眼（其中深井5眼、中层井29眼），压采水量1450万m</w:t>
      </w:r>
      <w:r>
        <w:rPr>
          <w:rFonts w:hint="default" w:ascii="Times New Roman" w:hAnsi="Times New Roman" w:eastAsia="宋体" w:cs="Times New Roman"/>
          <w:color w:val="auto"/>
          <w:kern w:val="0"/>
          <w:szCs w:val="28"/>
          <w:shd w:val="clear" w:color="auto" w:fill="FFFFFF"/>
          <w:vertAlign w:val="superscript"/>
          <w:lang w:val="en-US" w:eastAsia="zh-CN"/>
        </w:rPr>
        <w:t>3</w:t>
      </w:r>
      <w:r>
        <w:rPr>
          <w:rFonts w:hint="default" w:ascii="Times New Roman" w:hAnsi="Times New Roman" w:eastAsia="宋体" w:cs="Times New Roman"/>
          <w:color w:val="auto"/>
          <w:kern w:val="0"/>
          <w:szCs w:val="28"/>
          <w:shd w:val="clear" w:color="auto" w:fill="FFFFFF"/>
          <w:lang w:val="en-US" w:eastAsia="zh-CN"/>
        </w:rPr>
        <w:t>。</w:t>
      </w:r>
    </w:p>
    <w:p w14:paraId="15EB2C93">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bookmarkStart w:id="169" w:name="_Hlk101540105"/>
      <w:r>
        <w:rPr>
          <w:rFonts w:hint="default" w:ascii="Times New Roman" w:hAnsi="Times New Roman" w:eastAsia="宋体" w:cs="Times New Roman"/>
          <w:color w:val="auto"/>
          <w:kern w:val="0"/>
          <w:szCs w:val="28"/>
          <w:shd w:val="clear" w:color="auto" w:fill="FFFFFF"/>
          <w:lang w:val="en-US" w:eastAsia="zh-CN"/>
        </w:rPr>
        <w:t>2）节水型社会建设</w:t>
      </w:r>
    </w:p>
    <w:p w14:paraId="1AB6AA1D">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A.建设节水载体</w:t>
      </w:r>
    </w:p>
    <w:p w14:paraId="14A8A462">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根据泽州县水务局、泽州县机关事务管理局《关于对全县第一批节水型单位挂牌命名的通知》（泽水发〔2018〕197号），经泽州县水务局、泽州县机关事务管理局联合考评验收，泽州县机关事务管理局等32家单位确定为泽州县第一批节水型单位。</w:t>
      </w:r>
    </w:p>
    <w:p w14:paraId="2EC1888B">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B.建设节水型企业</w:t>
      </w:r>
    </w:p>
    <w:p w14:paraId="1F2B344D">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根据泽州县水务局、泽州县经济和信息化局《关于对全县第一批节水达标企业挂牌命名的通知》（泽水发〔2018〕198号），经泽州县水务局、泽州县经济和信息化局联合考评验收，山西晋城蓝焰煤业股份有限公司等20家企业确定为泽州县第一批节水达标企业。</w:t>
      </w:r>
    </w:p>
    <w:p w14:paraId="2375877F">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C.建设节水型小区</w:t>
      </w:r>
    </w:p>
    <w:p w14:paraId="18D53BFE">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根据泽州县水务局、泽州县住房保障和城乡建设管理局《关于对全县第一批节水型小区挂牌命名的通知》（泽水发〔2018〕199号），经泽州县水务局、泽州县住房保障和城乡建设管理局联合考评验收，源鑫小区等6个小区确定为泽州县第一批节水型小区。</w:t>
      </w:r>
    </w:p>
    <w:bookmarkEnd w:id="169"/>
    <w:p w14:paraId="6A6036DA">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bookmarkStart w:id="170" w:name="_Hlk101539359"/>
      <w:r>
        <w:rPr>
          <w:rFonts w:hint="default" w:ascii="Times New Roman" w:hAnsi="Times New Roman" w:eastAsia="宋体" w:cs="Times New Roman"/>
          <w:color w:val="auto"/>
          <w:kern w:val="0"/>
          <w:szCs w:val="28"/>
          <w:shd w:val="clear" w:color="auto" w:fill="FFFFFF"/>
          <w:lang w:val="en-US" w:eastAsia="zh-CN"/>
        </w:rPr>
        <w:t>3）矿山禁采限采</w:t>
      </w:r>
    </w:p>
    <w:p w14:paraId="6177961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在三姑泉域范围内的煤矿实施禁采限采工程，采煤排水疏干了煤系地层和上覆岩系中的孔隙裂隙地下水，影响了下伏的中奥陶岩溶水的补给，所以减少矿坑排水量，可减轻煤炭开采对地下岩溶水的破坏，在水库库区的煤炭资源要禁采，在地下岩溶水压的煤矿要限采，保护泉域岩溶水资源。</w:t>
      </w:r>
    </w:p>
    <w:bookmarkEnd w:id="170"/>
    <w:p w14:paraId="4F2BBB67">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泽州县2015年~2019年关井压采情况表</w:t>
      </w:r>
    </w:p>
    <w:tbl>
      <w:tblPr>
        <w:tblStyle w:val="32"/>
        <w:tblW w:w="4998" w:type="pct"/>
        <w:tblInd w:w="0" w:type="dxa"/>
        <w:tblLayout w:type="autofit"/>
        <w:tblCellMar>
          <w:top w:w="0" w:type="dxa"/>
          <w:left w:w="108" w:type="dxa"/>
          <w:bottom w:w="0" w:type="dxa"/>
          <w:right w:w="108" w:type="dxa"/>
        </w:tblCellMar>
      </w:tblPr>
      <w:tblGrid>
        <w:gridCol w:w="1012"/>
        <w:gridCol w:w="4133"/>
        <w:gridCol w:w="706"/>
        <w:gridCol w:w="950"/>
        <w:gridCol w:w="950"/>
        <w:gridCol w:w="1196"/>
      </w:tblGrid>
      <w:tr w14:paraId="0AD1B9D4">
        <w:tblPrEx>
          <w:tblCellMar>
            <w:top w:w="0" w:type="dxa"/>
            <w:left w:w="108" w:type="dxa"/>
            <w:bottom w:w="0" w:type="dxa"/>
            <w:right w:w="108" w:type="dxa"/>
          </w:tblCellMar>
        </w:tblPrEx>
        <w:trPr>
          <w:trHeight w:val="454" w:hRule="atLeast"/>
          <w:tblHeader/>
        </w:trPr>
        <w:tc>
          <w:tcPr>
            <w:tcW w:w="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668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年份</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6BB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关闭井单位名称</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A26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深井</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648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中层井</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650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压采量</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886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所属乡镇</w:t>
            </w:r>
          </w:p>
        </w:tc>
      </w:tr>
      <w:tr w14:paraId="67D59745">
        <w:tblPrEx>
          <w:tblCellMar>
            <w:top w:w="0" w:type="dxa"/>
            <w:left w:w="108" w:type="dxa"/>
            <w:bottom w:w="0" w:type="dxa"/>
            <w:right w:w="108" w:type="dxa"/>
          </w:tblCellMar>
        </w:tblPrEx>
        <w:trPr>
          <w:trHeight w:val="454" w:hRule="atLeast"/>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E9F7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2015年</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4B8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山西天泽煤化工集团股份公司化工厂</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09B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28FB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ADA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500</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CF7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2007C5C1">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CE49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295E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山西兰花煤化工有限公司</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F294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8906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9D8F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2F5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76E5D99A">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32F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D102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山西江淮重工有限责任公司</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03D4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81A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7C11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D2F2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05946E43">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E921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CDF2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大同煤矿集团巴公发电有限公司</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E97A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943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29E6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48B9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32D5C8D8">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7F9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761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南村镇冶底村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B24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81E3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4FF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338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南村镇</w:t>
            </w:r>
          </w:p>
        </w:tc>
      </w:tr>
      <w:tr w14:paraId="79D7BF50">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48AD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BAAA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巴公镇官庄村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0BF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1722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71D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2A14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596FC96E">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5CC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4815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高都镇二神后村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1809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434E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6EF2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5715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高都镇</w:t>
            </w:r>
          </w:p>
        </w:tc>
      </w:tr>
      <w:tr w14:paraId="0BF9B88A">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F5D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749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周村镇富景股份有限公司</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AE2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E9B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8607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CA13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周村镇</w:t>
            </w:r>
          </w:p>
        </w:tc>
      </w:tr>
      <w:tr w14:paraId="35BBD859">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EC5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1B7A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周村镇东常村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E78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EB8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255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0A93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周村镇</w:t>
            </w:r>
          </w:p>
        </w:tc>
      </w:tr>
      <w:tr w14:paraId="326D9103">
        <w:tblPrEx>
          <w:tblCellMar>
            <w:top w:w="0" w:type="dxa"/>
            <w:left w:w="108" w:type="dxa"/>
            <w:bottom w:w="0" w:type="dxa"/>
            <w:right w:w="108" w:type="dxa"/>
          </w:tblCellMar>
        </w:tblPrEx>
        <w:trPr>
          <w:trHeight w:val="454" w:hRule="atLeast"/>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6F74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2016年</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2B93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山西江淮重工有限责任公司1号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0B2E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E1C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EC5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350</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993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28DD993A">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45B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208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山西江淮重工有限责任公司4号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D5F1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DDB2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D53D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FE20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2EE5219B">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7D3D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5F17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巴公镇古洞墕村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A5C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5BD8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DDA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782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2182ADAC">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34A2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A7E8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巴公镇西寺庄村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739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368B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281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228E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1A647D70">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134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78A7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巴公镇东板桥村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41D5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CCDA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5BA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83EE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0ED72F58">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7CF5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0382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金村镇龙华村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3FB2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4A0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F848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1C2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703D32B9">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BA8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65A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南村镇陈庄村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F85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0B01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AA4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7781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南村镇</w:t>
            </w:r>
          </w:p>
        </w:tc>
      </w:tr>
      <w:tr w14:paraId="77B31C83">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2219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4121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下村镇振兴铁厂</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A62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8DC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4E54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A8D7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下村镇</w:t>
            </w:r>
          </w:p>
        </w:tc>
      </w:tr>
      <w:tr w14:paraId="20E5FCCA">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04C7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908D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川底乡马坪头村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9E7D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237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6491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FAF4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川底乡</w:t>
            </w:r>
          </w:p>
        </w:tc>
      </w:tr>
      <w:tr w14:paraId="2C34C1DB">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A244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D61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大阳镇西街村1号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4370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4B5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5C2F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F235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w:t>
            </w:r>
          </w:p>
        </w:tc>
      </w:tr>
      <w:tr w14:paraId="078C9E56">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871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EAC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大阳镇西街村2号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C53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3735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7CA4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BBF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w:t>
            </w:r>
          </w:p>
        </w:tc>
      </w:tr>
      <w:tr w14:paraId="63FD68A8">
        <w:tblPrEx>
          <w:tblCellMar>
            <w:top w:w="0" w:type="dxa"/>
            <w:left w:w="108" w:type="dxa"/>
            <w:bottom w:w="0" w:type="dxa"/>
            <w:right w:w="108" w:type="dxa"/>
          </w:tblCellMar>
        </w:tblPrEx>
        <w:trPr>
          <w:trHeight w:val="454" w:hRule="atLeast"/>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D5A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2017年</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54F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山西江淮重工有限责任公司6号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C930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B49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D474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200</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FBA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6A8CF6E8">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32D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51C4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大阳镇翟沟村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558D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23D9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C55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B8C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w:t>
            </w:r>
          </w:p>
        </w:tc>
      </w:tr>
      <w:tr w14:paraId="2C4F4BE9">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B3DC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609C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巴公镇兴王庄村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0FD7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7CDF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245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D4A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03A24F82">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A046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AD6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高都镇东元庄村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9660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329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5FE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608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高都镇</w:t>
            </w:r>
          </w:p>
        </w:tc>
      </w:tr>
      <w:tr w14:paraId="10264E08">
        <w:tblPrEx>
          <w:tblCellMar>
            <w:top w:w="0" w:type="dxa"/>
            <w:left w:w="108" w:type="dxa"/>
            <w:bottom w:w="0" w:type="dxa"/>
            <w:right w:w="108" w:type="dxa"/>
          </w:tblCellMar>
        </w:tblPrEx>
        <w:trPr>
          <w:trHeight w:val="454" w:hRule="atLeast"/>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8981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2018年</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3FA4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巴公镇坡头村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2F8B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215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AF2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200</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859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20C86C09">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D75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8A0D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下村镇成庄村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9EBF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6570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04C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81B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下村镇</w:t>
            </w:r>
          </w:p>
        </w:tc>
      </w:tr>
      <w:tr w14:paraId="42705860">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9DD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3C5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大阳镇西街村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61E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6D261">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337FF">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855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w:t>
            </w:r>
          </w:p>
        </w:tc>
      </w:tr>
      <w:tr w14:paraId="429AE2ED">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76A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D395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大阳镇南社村</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B4CD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D3B9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78C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EFA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w:t>
            </w:r>
          </w:p>
        </w:tc>
      </w:tr>
      <w:tr w14:paraId="32A994F5">
        <w:tblPrEx>
          <w:tblCellMar>
            <w:top w:w="0" w:type="dxa"/>
            <w:left w:w="108" w:type="dxa"/>
            <w:bottom w:w="0" w:type="dxa"/>
            <w:right w:w="108" w:type="dxa"/>
          </w:tblCellMar>
        </w:tblPrEx>
        <w:trPr>
          <w:trHeight w:val="454" w:hRule="atLeast"/>
        </w:trPr>
        <w:tc>
          <w:tcPr>
            <w:tcW w:w="60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0B2D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2019年</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62D4D">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山西江淮重工有限责任公司2号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A781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F18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E62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200</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6F24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4396FEDA">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E270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E18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山西江淮重工有限责任公司3号</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414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D86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44B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E019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1F5EB572">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C908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6A2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晋城市灵鑫贸易有限公司</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DBC1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65E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89BE2">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B07CA">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巴公镇</w:t>
            </w:r>
          </w:p>
        </w:tc>
      </w:tr>
      <w:tr w14:paraId="3E537BD6">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7DC03">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nil"/>
              <w:right w:val="single" w:color="000000" w:sz="4" w:space="0"/>
            </w:tcBorders>
            <w:shd w:val="clear" w:color="auto" w:fill="auto"/>
            <w:noWrap/>
            <w:vAlign w:val="center"/>
          </w:tcPr>
          <w:p w14:paraId="60148119">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大阳镇王家庄村</w:t>
            </w:r>
          </w:p>
        </w:tc>
        <w:tc>
          <w:tcPr>
            <w:tcW w:w="453" w:type="pct"/>
            <w:tcBorders>
              <w:top w:val="single" w:color="000000" w:sz="4" w:space="0"/>
              <w:left w:val="single" w:color="000000" w:sz="4" w:space="0"/>
              <w:bottom w:val="nil"/>
              <w:right w:val="single" w:color="000000" w:sz="4" w:space="0"/>
            </w:tcBorders>
            <w:shd w:val="clear" w:color="auto" w:fill="auto"/>
            <w:noWrap/>
            <w:vAlign w:val="center"/>
          </w:tcPr>
          <w:p w14:paraId="4426536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tcBorders>
              <w:top w:val="single" w:color="000000" w:sz="4" w:space="0"/>
              <w:left w:val="single" w:color="000000" w:sz="4" w:space="0"/>
              <w:bottom w:val="nil"/>
              <w:right w:val="single" w:color="000000" w:sz="4" w:space="0"/>
            </w:tcBorders>
            <w:shd w:val="clear" w:color="auto" w:fill="auto"/>
            <w:noWrap/>
            <w:vAlign w:val="center"/>
          </w:tcPr>
          <w:p w14:paraId="2BEEE05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26BC">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nil"/>
              <w:right w:val="single" w:color="000000" w:sz="4" w:space="0"/>
            </w:tcBorders>
            <w:shd w:val="clear" w:color="auto" w:fill="auto"/>
            <w:noWrap/>
            <w:vAlign w:val="center"/>
          </w:tcPr>
          <w:p w14:paraId="35E10FE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大阳镇</w:t>
            </w:r>
          </w:p>
        </w:tc>
      </w:tr>
      <w:tr w14:paraId="3C128A99">
        <w:tblPrEx>
          <w:tblCellMar>
            <w:top w:w="0" w:type="dxa"/>
            <w:left w:w="108" w:type="dxa"/>
            <w:bottom w:w="0" w:type="dxa"/>
            <w:right w:w="108" w:type="dxa"/>
          </w:tblCellMar>
        </w:tblPrEx>
        <w:trPr>
          <w:trHeight w:val="454" w:hRule="atLeast"/>
        </w:trPr>
        <w:tc>
          <w:tcPr>
            <w:tcW w:w="60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0F8B">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831F6">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中国人民解放军63988部队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B0E0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C65E">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45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68A0">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3A5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金村镇</w:t>
            </w:r>
          </w:p>
        </w:tc>
      </w:tr>
      <w:tr w14:paraId="00A7AAEB">
        <w:tblPrEx>
          <w:tblCellMar>
            <w:top w:w="0" w:type="dxa"/>
            <w:left w:w="108" w:type="dxa"/>
            <w:bottom w:w="0" w:type="dxa"/>
            <w:right w:w="108" w:type="dxa"/>
          </w:tblCellMar>
        </w:tblPrEx>
        <w:trPr>
          <w:trHeight w:val="454" w:hRule="atLeast"/>
        </w:trPr>
        <w:tc>
          <w:tcPr>
            <w:tcW w:w="6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5784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合  计</w:t>
            </w:r>
          </w:p>
        </w:tc>
        <w:tc>
          <w:tcPr>
            <w:tcW w:w="23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86B7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C1F74">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5</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CDF85">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29</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FE197">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1450</w:t>
            </w:r>
          </w:p>
        </w:tc>
        <w:tc>
          <w:tcPr>
            <w:tcW w:w="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1D918">
            <w:pPr>
              <w:pStyle w:val="6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w:t>
            </w:r>
          </w:p>
        </w:tc>
      </w:tr>
    </w:tbl>
    <w:p w14:paraId="05128708">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p>
    <w:p w14:paraId="275B9EC7">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4）生态补水</w:t>
      </w:r>
    </w:p>
    <w:p w14:paraId="57E28418">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在三姑泉域的补给区进行生态补水工程，在泉域石灰岩裸露、半裸露区及河道渗漏段修建拦洪回灌水库，对现有的水库、塘坝进行清淤，扩大库容、回灌地下水量。对丹河及其支流巴公河等河流的河道进行清淤整治、绿化治理。新建闸坝蓄水工程，加大地下水源的补给。</w:t>
      </w:r>
    </w:p>
    <w:p w14:paraId="38E63649">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5）水源涵养</w:t>
      </w:r>
    </w:p>
    <w:p w14:paraId="4E4BC8E0">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在三姑泉域的补给区、径流区建设水源涵养工程，实施水土保持工程，植树造林，建设淤地坝、小谷坊、小流域治理工程，新增地表水灌溉工程，增加地下岩溶水的补给量，改善三姑泉域水生态环境。</w:t>
      </w:r>
    </w:p>
    <w:p w14:paraId="7249858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6）人工湿地建设</w:t>
      </w:r>
    </w:p>
    <w:p w14:paraId="00A828D0">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在三姑泉域的补给径流区，建设人工湿地公园工程，通过表面流人工湿地，垂直流人工湿地的物理、化学及生物的综合利用，净化河流水质，防止污水下渗对地下水的污染。</w:t>
      </w:r>
    </w:p>
    <w:p w14:paraId="39DA2DC1">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eastAsia" w:ascii="Times New Roman" w:hAnsi="Times New Roman" w:eastAsia="宋体" w:cs="Times New Roman"/>
          <w:color w:val="auto"/>
          <w:kern w:val="0"/>
          <w:szCs w:val="28"/>
          <w:shd w:val="clear" w:color="auto" w:fill="FFFFFF"/>
          <w:lang w:val="en-US" w:eastAsia="zh-CN"/>
        </w:rPr>
        <w:t>“</w:t>
      </w:r>
      <w:r>
        <w:rPr>
          <w:rFonts w:hint="default" w:ascii="Times New Roman" w:hAnsi="Times New Roman" w:eastAsia="宋体" w:cs="Times New Roman"/>
          <w:color w:val="auto"/>
          <w:kern w:val="0"/>
          <w:szCs w:val="28"/>
          <w:shd w:val="clear" w:color="auto" w:fill="FFFFFF"/>
          <w:lang w:val="en-US" w:eastAsia="zh-CN"/>
        </w:rPr>
        <w:t>十三五</w:t>
      </w:r>
      <w:r>
        <w:rPr>
          <w:rFonts w:hint="eastAsia" w:ascii="Times New Roman" w:hAnsi="Times New Roman" w:eastAsia="宋体" w:cs="Times New Roman"/>
          <w:color w:val="auto"/>
          <w:kern w:val="0"/>
          <w:szCs w:val="28"/>
          <w:shd w:val="clear" w:color="auto" w:fill="FFFFFF"/>
          <w:lang w:val="en-US" w:eastAsia="zh-CN"/>
        </w:rPr>
        <w:t>”</w:t>
      </w:r>
      <w:r>
        <w:rPr>
          <w:rFonts w:hint="default" w:ascii="Times New Roman" w:hAnsi="Times New Roman" w:eastAsia="宋体" w:cs="Times New Roman"/>
          <w:color w:val="auto"/>
          <w:kern w:val="0"/>
          <w:szCs w:val="28"/>
          <w:shd w:val="clear" w:color="auto" w:fill="FFFFFF"/>
          <w:lang w:val="en-US" w:eastAsia="zh-CN"/>
        </w:rPr>
        <w:t>期间完成情况：</w:t>
      </w:r>
    </w:p>
    <w:p w14:paraId="3776AA91">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A.巴公河人工湿地生态治理工程，位于泽州县高都镇，占地面积206亩，采用“自由表面流湿地＋垂直流人工湿地”工艺，日处理污水3万t，每年可处理污水1095万t，削减化学需氧量约760t，氨氮约220t。</w:t>
      </w:r>
    </w:p>
    <w:p w14:paraId="41EB566A">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B.丹河湿地为</w:t>
      </w:r>
      <w:r>
        <w:rPr>
          <w:rFonts w:hint="eastAsia" w:ascii="Times New Roman" w:hAnsi="Times New Roman" w:eastAsia="宋体" w:cs="Times New Roman"/>
          <w:color w:val="auto"/>
          <w:kern w:val="0"/>
          <w:szCs w:val="28"/>
          <w:shd w:val="clear" w:color="auto" w:fill="FFFFFF"/>
          <w:lang w:val="en-US" w:eastAsia="zh-CN"/>
        </w:rPr>
        <w:t>“</w:t>
      </w:r>
      <w:r>
        <w:rPr>
          <w:rFonts w:hint="default" w:ascii="Times New Roman" w:hAnsi="Times New Roman" w:eastAsia="宋体" w:cs="Times New Roman"/>
          <w:color w:val="auto"/>
          <w:kern w:val="0"/>
          <w:szCs w:val="28"/>
          <w:shd w:val="clear" w:color="auto" w:fill="FFFFFF"/>
          <w:lang w:val="en-US" w:eastAsia="zh-CN"/>
        </w:rPr>
        <w:t>国家湿地公园</w:t>
      </w:r>
      <w:r>
        <w:rPr>
          <w:rFonts w:hint="eastAsia" w:ascii="Times New Roman" w:hAnsi="Times New Roman" w:eastAsia="宋体" w:cs="Times New Roman"/>
          <w:color w:val="auto"/>
          <w:kern w:val="0"/>
          <w:szCs w:val="28"/>
          <w:shd w:val="clear" w:color="auto" w:fill="FFFFFF"/>
          <w:lang w:val="en-US" w:eastAsia="zh-CN"/>
        </w:rPr>
        <w:t>”</w:t>
      </w:r>
      <w:r>
        <w:rPr>
          <w:rFonts w:hint="default" w:ascii="Times New Roman" w:hAnsi="Times New Roman" w:eastAsia="宋体" w:cs="Times New Roman"/>
          <w:color w:val="auto"/>
          <w:kern w:val="0"/>
          <w:szCs w:val="28"/>
          <w:shd w:val="clear" w:color="auto" w:fill="FFFFFF"/>
          <w:lang w:val="en-US" w:eastAsia="zh-CN"/>
        </w:rPr>
        <w:t>，位于泽州县金村镇水北村南，占地面积1580亩，已建成垂直流人工湿地315亩，表面流人工湿地475亩，种植芦苇、香蒲等各种水生植物350万株，布设柔性人工水草2万m2，形成了790亩的植物长廊，26万平方米的景观水面，达到日处理8万t污水和年处理2920万t污水的设计目标，年可削减化学需氧量2044t，氨氮540t，水质可达地表水Ⅳ类水质标准。</w:t>
      </w:r>
    </w:p>
    <w:p w14:paraId="5715EE22">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7）岩溶地下水监测</w:t>
      </w:r>
    </w:p>
    <w:p w14:paraId="1F6D7FE1">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三姑泉域建立和完善岩溶地下水水位、水量、水质监测网，实行监测动态自动化，对三姑泉、郭壁泉泉域区丰枯期水量测量、水质化验、地下岩溶水位长观井每月三次观测，每年丰枯期统测校核，掌控泉域地下岩溶水的动态变化情况，为水资源管理提供依据。</w:t>
      </w:r>
    </w:p>
    <w:p w14:paraId="64653008">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8）中水回用</w:t>
      </w:r>
    </w:p>
    <w:p w14:paraId="48EDF9A9">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通过计划用水，节约用水，中水利用，非常规水源回用，城镇污水经处理用于河道、公园景观用水。工矿企业废水经处理，用于除尘、绿化等用水。</w:t>
      </w:r>
    </w:p>
    <w:p w14:paraId="667552F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9）泉源保护</w:t>
      </w:r>
    </w:p>
    <w:p w14:paraId="41733A55">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val="en-US" w:eastAsia="zh-CN"/>
        </w:rPr>
        <w:t>泉域区进行保护，根据《山西省泉域水资源保护条例》，明确三姑泉、郭壁泉重点保护范围36.53km</w:t>
      </w:r>
      <w:r>
        <w:rPr>
          <w:rFonts w:hint="default" w:ascii="Times New Roman" w:hAnsi="Times New Roman" w:eastAsia="宋体" w:cs="Times New Roman"/>
          <w:color w:val="auto"/>
          <w:kern w:val="0"/>
          <w:szCs w:val="28"/>
          <w:shd w:val="clear" w:color="auto" w:fill="FFFFFF"/>
          <w:vertAlign w:val="superscript"/>
          <w:lang w:val="en-US" w:eastAsia="zh-CN"/>
        </w:rPr>
        <w:t>2</w:t>
      </w:r>
      <w:r>
        <w:rPr>
          <w:rFonts w:hint="default" w:ascii="Times New Roman" w:hAnsi="Times New Roman" w:eastAsia="宋体" w:cs="Times New Roman"/>
          <w:color w:val="auto"/>
          <w:kern w:val="0"/>
          <w:szCs w:val="28"/>
          <w:shd w:val="clear" w:color="auto" w:fill="FFFFFF"/>
          <w:lang w:val="en-US" w:eastAsia="zh-CN"/>
        </w:rPr>
        <w:t>。禁止向泉域、水源地排放污水，禁止倾倒工程和生活垃圾及废渣，设立重点保护边界标识牌，确保泉域水源地的水量和水质优良。</w:t>
      </w:r>
    </w:p>
    <w:p w14:paraId="1F4CB88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val="en-US" w:eastAsia="zh-CN"/>
        </w:rPr>
      </w:pPr>
      <w:r>
        <w:rPr>
          <w:rFonts w:hint="default" w:ascii="Times New Roman" w:hAnsi="Times New Roman" w:eastAsia="宋体" w:cs="Times New Roman"/>
          <w:color w:val="auto"/>
          <w:kern w:val="0"/>
          <w:szCs w:val="28"/>
          <w:shd w:val="clear" w:color="auto" w:fill="FFFFFF"/>
          <w:lang w:val="en-US" w:eastAsia="zh-CN"/>
        </w:rPr>
        <w:t>5.5.2 地下水保护</w:t>
      </w:r>
    </w:p>
    <w:p w14:paraId="6D8F0DC4">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(1) 地下水超采区治理。对存在超采的</w:t>
      </w:r>
      <w:r>
        <w:rPr>
          <w:rFonts w:hint="default" w:ascii="Times New Roman" w:hAnsi="Times New Roman" w:eastAsia="宋体" w:cs="Times New Roman"/>
          <w:color w:val="auto"/>
          <w:kern w:val="0"/>
          <w:szCs w:val="28"/>
          <w:shd w:val="clear" w:color="auto" w:fill="FFFFFF"/>
          <w:lang w:val="en-US" w:eastAsia="zh-CN"/>
        </w:rPr>
        <w:t>泽州县巴公及北石店镇</w:t>
      </w:r>
      <w:r>
        <w:rPr>
          <w:rFonts w:hint="default" w:ascii="Times New Roman" w:hAnsi="Times New Roman" w:eastAsia="宋体" w:cs="Times New Roman"/>
          <w:color w:val="auto"/>
          <w:kern w:val="0"/>
          <w:szCs w:val="28"/>
          <w:shd w:val="clear" w:color="auto" w:fill="FFFFFF"/>
          <w:lang w:eastAsia="zh-CN"/>
        </w:rPr>
        <w:t>地下水源地实行有计划限采，以可开采量为控制，逐步退还地下水超采量，</w:t>
      </w:r>
      <w:r>
        <w:rPr>
          <w:rFonts w:hint="default" w:ascii="Times New Roman" w:hAnsi="Times New Roman" w:eastAsia="宋体" w:cs="Times New Roman"/>
          <w:color w:val="auto"/>
          <w:kern w:val="0"/>
          <w:szCs w:val="28"/>
          <w:shd w:val="clear" w:color="auto" w:fill="FFFFFF"/>
          <w:lang w:val="en-US" w:eastAsia="zh-CN"/>
        </w:rPr>
        <w:t>到2023年基本</w:t>
      </w:r>
      <w:r>
        <w:rPr>
          <w:rFonts w:hint="default" w:ascii="Times New Roman" w:hAnsi="Times New Roman" w:eastAsia="宋体" w:cs="Times New Roman"/>
          <w:color w:val="auto"/>
          <w:kern w:val="0"/>
          <w:szCs w:val="28"/>
          <w:shd w:val="clear" w:color="auto" w:fill="FFFFFF"/>
          <w:lang w:eastAsia="zh-CN"/>
        </w:rPr>
        <w:t>实现地下水采补平衡。超采区逐步恢复，地下水降落漏斗面积逐步缩小，地下水水位达到合理开采控制线，确保特枯干旱年份水资源的应急保障与有效供给。</w:t>
      </w:r>
    </w:p>
    <w:p w14:paraId="216F2749">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(2) 地下水水质保护。根据浅层地下水功能规划分区以及各地区对地下水资源利用的重要性，在地下水水质较差的煤矿开采周边区域，要加强对地下水环境质量的监测力度，并加强工矿企业废污水、废弃物的排放与管理，以及活污水的回收利用。</w:t>
      </w:r>
    </w:p>
    <w:p w14:paraId="57BD7F9A">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(3) 地下水水位控制。地下水作为水生态系统的重要组成部分，对于地面沉降预防、山区河道基流维持、重要泉水保护等都具有十分重要的意义。根据不同含水层水位的长期监测数据，规划地下水水位 控制目标，依靠地下水开采量控制等实现地下水水位控制。</w:t>
      </w:r>
    </w:p>
    <w:p w14:paraId="78BE4D31">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(4) 地下水监测工程。晋城市城郊岩溶水超 采区在西坡村、西张村、双王庄村和西寺村分别增加 1 眼岩溶地下水水位监测井，应</w:t>
      </w:r>
      <w:r>
        <w:rPr>
          <w:rFonts w:hint="default" w:ascii="Times New Roman" w:hAnsi="Times New Roman" w:eastAsia="宋体" w:cs="Times New Roman"/>
          <w:color w:val="auto"/>
          <w:kern w:val="0"/>
          <w:szCs w:val="28"/>
          <w:shd w:val="clear" w:color="auto" w:fill="FFFFFF"/>
          <w:lang w:val="en-US" w:eastAsia="zh-CN"/>
        </w:rPr>
        <w:t>加强巴公电厂、柳坡掌、巴化8#</w:t>
      </w:r>
      <w:r>
        <w:rPr>
          <w:rFonts w:hint="default" w:ascii="Times New Roman" w:hAnsi="Times New Roman" w:eastAsia="宋体" w:cs="Times New Roman"/>
          <w:color w:val="auto"/>
          <w:kern w:val="0"/>
          <w:szCs w:val="28"/>
          <w:shd w:val="clear" w:color="auto" w:fill="FFFFFF"/>
          <w:lang w:eastAsia="zh-CN"/>
        </w:rPr>
        <w:t>位于中型岩溶超采区内水位监测井</w:t>
      </w:r>
      <w:r>
        <w:rPr>
          <w:rFonts w:hint="default" w:ascii="Times New Roman" w:hAnsi="Times New Roman" w:eastAsia="宋体" w:cs="Times New Roman"/>
          <w:color w:val="auto"/>
          <w:kern w:val="0"/>
          <w:szCs w:val="28"/>
          <w:shd w:val="clear" w:color="auto" w:fill="FFFFFF"/>
          <w:lang w:val="en-US" w:eastAsia="zh-CN"/>
        </w:rPr>
        <w:t>的监测与保护</w:t>
      </w:r>
      <w:r>
        <w:rPr>
          <w:rFonts w:hint="default" w:ascii="Times New Roman" w:hAnsi="Times New Roman" w:eastAsia="宋体" w:cs="Times New Roman"/>
          <w:color w:val="auto"/>
          <w:kern w:val="0"/>
          <w:szCs w:val="28"/>
          <w:shd w:val="clear" w:color="auto" w:fill="FFFFFF"/>
          <w:lang w:eastAsia="zh-CN"/>
        </w:rPr>
        <w:t>，监测频次与原有监测点的频次相同，3 次/月。</w:t>
      </w:r>
    </w:p>
    <w:p w14:paraId="6D493B36">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(5) 集中式地下水饮用水水源地保护。地下水是</w:t>
      </w:r>
      <w:r>
        <w:rPr>
          <w:rFonts w:hint="default" w:ascii="Times New Roman" w:hAnsi="Times New Roman" w:eastAsia="宋体" w:cs="Times New Roman"/>
          <w:color w:val="auto"/>
          <w:kern w:val="0"/>
          <w:szCs w:val="28"/>
          <w:shd w:val="clear" w:color="auto" w:fill="FFFFFF"/>
          <w:lang w:val="en-US" w:eastAsia="zh-CN"/>
        </w:rPr>
        <w:t>泽州县</w:t>
      </w:r>
      <w:r>
        <w:rPr>
          <w:rFonts w:hint="default" w:ascii="Times New Roman" w:hAnsi="Times New Roman" w:eastAsia="宋体" w:cs="Times New Roman"/>
          <w:color w:val="auto"/>
          <w:kern w:val="0"/>
          <w:szCs w:val="28"/>
          <w:shd w:val="clear" w:color="auto" w:fill="FFFFFF"/>
          <w:lang w:eastAsia="zh-CN"/>
        </w:rPr>
        <w:t>城乡居民重要的饮用水水源，尤其是集中式地下水饮用水水源地，更是城市的重要基础设施。保护好集中式地下水饮用水水源地是解决城市饮水安全问题的重要保障，是地下水资源保护的重点之一。应依照水源地的水文地质条件、土壤条件等全面划定饮用水水源地保护区，并根据《饮用水水源保护区污染防治管理规定》，在保护区内禁止从事农牧业活动；禁止倾倒、堆放工业废渣及城市垃圾、粪便和其它有害废弃物；禁止输送污水的渠道、管道及输油管道通过本区。</w:t>
      </w:r>
    </w:p>
    <w:p w14:paraId="76933442">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充分发挥</w:t>
      </w:r>
      <w:r>
        <w:rPr>
          <w:rFonts w:hint="default" w:ascii="Times New Roman" w:hAnsi="Times New Roman" w:eastAsia="宋体" w:cs="Times New Roman"/>
          <w:color w:val="auto"/>
          <w:kern w:val="0"/>
          <w:szCs w:val="28"/>
          <w:shd w:val="clear" w:color="auto" w:fill="FFFFFF"/>
          <w:lang w:val="en-US" w:eastAsia="zh-CN"/>
        </w:rPr>
        <w:t>泽州县</w:t>
      </w:r>
      <w:r>
        <w:rPr>
          <w:rFonts w:hint="default" w:ascii="Times New Roman" w:hAnsi="Times New Roman" w:eastAsia="宋体" w:cs="Times New Roman"/>
          <w:color w:val="auto"/>
          <w:kern w:val="0"/>
          <w:szCs w:val="28"/>
          <w:shd w:val="clear" w:color="auto" w:fill="FFFFFF"/>
          <w:lang w:eastAsia="zh-CN"/>
        </w:rPr>
        <w:t>水系结构、生态本底、水利设施、景观人文、财政资金等方面的基础条件，以河流水系为轴线，以水利工程、湖泊为载体，统筹上下游、左右岸水文化、水利风景资源，串联河流水系沿线不同特色景区，实施水美乡村和水文化景观建设。做好水美乡村和水文化景观建设与乡村振兴战略、</w:t>
      </w:r>
      <w:r>
        <w:rPr>
          <w:rFonts w:hint="default" w:ascii="Times New Roman" w:hAnsi="Times New Roman" w:eastAsia="宋体" w:cs="Times New Roman"/>
          <w:color w:val="auto"/>
          <w:kern w:val="0"/>
          <w:szCs w:val="28"/>
          <w:shd w:val="clear" w:color="auto" w:fill="FFFFFF"/>
          <w:lang w:val="en-US" w:eastAsia="zh-CN"/>
        </w:rPr>
        <w:t>国土空间总体规划、城市</w:t>
      </w:r>
      <w:r>
        <w:rPr>
          <w:rFonts w:hint="default" w:ascii="Times New Roman" w:hAnsi="Times New Roman" w:eastAsia="宋体" w:cs="Times New Roman"/>
          <w:color w:val="auto"/>
          <w:kern w:val="0"/>
          <w:szCs w:val="28"/>
          <w:shd w:val="clear" w:color="auto" w:fill="FFFFFF"/>
          <w:lang w:eastAsia="zh-CN"/>
        </w:rPr>
        <w:t>总体规划、旅游规划等规划的衔接。</w:t>
      </w:r>
    </w:p>
    <w:p w14:paraId="6605B2FE">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bookmarkStart w:id="171" w:name="_Toc25622"/>
      <w:bookmarkStart w:id="172" w:name="_Toc9529"/>
      <w:bookmarkStart w:id="173" w:name="_Toc32480"/>
      <w:r>
        <w:rPr>
          <w:rFonts w:hint="default" w:ascii="Times New Roman" w:hAnsi="Times New Roman" w:eastAsia="宋体" w:cs="Times New Roman"/>
          <w:color w:val="auto"/>
          <w:kern w:val="0"/>
          <w:szCs w:val="28"/>
          <w:shd w:val="clear" w:color="auto" w:fill="FFFFFF"/>
          <w:lang w:eastAsia="zh-CN"/>
        </w:rPr>
        <w:t>结合</w:t>
      </w:r>
      <w:r>
        <w:rPr>
          <w:rFonts w:hint="default" w:ascii="Times New Roman" w:hAnsi="Times New Roman" w:eastAsia="宋体" w:cs="Times New Roman"/>
          <w:color w:val="auto"/>
          <w:kern w:val="0"/>
          <w:szCs w:val="28"/>
          <w:shd w:val="clear" w:color="auto" w:fill="FFFFFF"/>
          <w:lang w:val="en-US" w:eastAsia="zh-CN"/>
        </w:rPr>
        <w:t>泽州县</w:t>
      </w:r>
      <w:r>
        <w:rPr>
          <w:rFonts w:hint="default" w:ascii="Times New Roman" w:hAnsi="Times New Roman" w:eastAsia="宋体" w:cs="Times New Roman"/>
          <w:color w:val="auto"/>
          <w:kern w:val="0"/>
          <w:szCs w:val="28"/>
          <w:shd w:val="clear" w:color="auto" w:fill="FFFFFF"/>
          <w:lang w:eastAsia="zh-CN"/>
        </w:rPr>
        <w:t>实际，充分考虑自然人文与经济社会状况，以水系面</w:t>
      </w:r>
      <w:bookmarkEnd w:id="171"/>
      <w:bookmarkEnd w:id="172"/>
      <w:bookmarkEnd w:id="173"/>
      <w:bookmarkStart w:id="174" w:name="_bookmark34"/>
      <w:bookmarkEnd w:id="174"/>
      <w:r>
        <w:rPr>
          <w:rFonts w:hint="default" w:ascii="Times New Roman" w:hAnsi="Times New Roman" w:eastAsia="宋体" w:cs="Times New Roman"/>
          <w:color w:val="auto"/>
          <w:kern w:val="0"/>
          <w:szCs w:val="28"/>
          <w:shd w:val="clear" w:color="auto" w:fill="FFFFFF"/>
          <w:lang w:eastAsia="zh-CN"/>
        </w:rPr>
        <w:t>临的水问题为导向，落实</w:t>
      </w:r>
      <w:r>
        <w:rPr>
          <w:rFonts w:hint="eastAsia" w:ascii="Times New Roman" w:hAnsi="Times New Roman" w:eastAsia="宋体" w:cs="Times New Roman"/>
          <w:color w:val="auto"/>
          <w:kern w:val="0"/>
          <w:szCs w:val="28"/>
          <w:shd w:val="clear" w:color="auto" w:fill="FFFFFF"/>
          <w:lang w:eastAsia="zh-CN"/>
        </w:rPr>
        <w:t>“</w:t>
      </w:r>
      <w:r>
        <w:rPr>
          <w:rFonts w:hint="default" w:ascii="Times New Roman" w:hAnsi="Times New Roman" w:eastAsia="宋体" w:cs="Times New Roman"/>
          <w:color w:val="auto"/>
          <w:kern w:val="0"/>
          <w:szCs w:val="28"/>
          <w:shd w:val="clear" w:color="auto" w:fill="FFFFFF"/>
          <w:lang w:eastAsia="zh-CN"/>
        </w:rPr>
        <w:t>一河（湖）一策</w:t>
      </w:r>
      <w:r>
        <w:rPr>
          <w:rFonts w:hint="eastAsia" w:ascii="Times New Roman" w:hAnsi="Times New Roman" w:eastAsia="宋体" w:cs="Times New Roman"/>
          <w:color w:val="auto"/>
          <w:kern w:val="0"/>
          <w:szCs w:val="28"/>
          <w:shd w:val="clear" w:color="auto" w:fill="FFFFFF"/>
          <w:lang w:eastAsia="zh-CN"/>
        </w:rPr>
        <w:t>”</w:t>
      </w:r>
      <w:r>
        <w:rPr>
          <w:rFonts w:hint="default" w:ascii="Times New Roman" w:hAnsi="Times New Roman" w:eastAsia="宋体" w:cs="Times New Roman"/>
          <w:color w:val="auto"/>
          <w:kern w:val="0"/>
          <w:szCs w:val="28"/>
          <w:shd w:val="clear" w:color="auto" w:fill="FFFFFF"/>
          <w:lang w:eastAsia="zh-CN"/>
        </w:rPr>
        <w:t>，科学确定水美乡村和水文化景观的实施范围、建设目标、建设标准和工程措施。注重突出区域差异和地域特色，结合各地水资源条件、水生态状况、水文化传统和水景观特色，合理选择建设模式和措施，打造各具特色、不同风格的水美乡村和水文化景观。优先实施示范带动作用强、地方积极性高、前期工作好的项目。</w:t>
      </w:r>
    </w:p>
    <w:p w14:paraId="27E01867">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开展水文化遗产调查认定。以水利工程为依托，推进水文化景观建设，打造爱国主义教育和水利科普教育基地，弘扬艰苦奋斗、甘于奉献的治水精神。</w:t>
      </w:r>
    </w:p>
    <w:p w14:paraId="423999AB">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以中小河流治理为纽带，统筹流域与区域、干流与支流、整体与局部的关系，明确新阶段中小河流治理模式、目标任务、总体布局、治理措施，持续改善河道防洪排涝能力，提升河道沿线水生态环境质量，为水美乡村及水文化景观建设奠定基础。</w:t>
      </w:r>
    </w:p>
    <w:p w14:paraId="559AC59E">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r>
        <w:rPr>
          <w:rFonts w:hint="default" w:ascii="Times New Roman" w:hAnsi="Times New Roman" w:eastAsia="宋体" w:cs="Times New Roman"/>
          <w:color w:val="auto"/>
          <w:kern w:val="0"/>
          <w:szCs w:val="28"/>
          <w:shd w:val="clear" w:color="auto" w:fill="FFFFFF"/>
          <w:lang w:eastAsia="zh-CN"/>
        </w:rPr>
        <w:t>以生态保护与</w:t>
      </w:r>
      <w:bookmarkStart w:id="175" w:name="_bookmark35"/>
      <w:bookmarkEnd w:id="175"/>
      <w:r>
        <w:rPr>
          <w:rFonts w:hint="default" w:ascii="Times New Roman" w:hAnsi="Times New Roman" w:eastAsia="宋体" w:cs="Times New Roman"/>
          <w:color w:val="auto"/>
          <w:kern w:val="0"/>
          <w:szCs w:val="28"/>
          <w:shd w:val="clear" w:color="auto" w:fill="FFFFFF"/>
          <w:lang w:eastAsia="zh-CN"/>
        </w:rPr>
        <w:t>修复为主要内容，加强水陆统筹、水岸联动、水绿交融，通过水源涵养能力提升、水环境改善改善、生境保护与修复、景观与游憩系统构 建。根据不同河流水系生态、环境、文化、景观和游憩等不同功能定 位，分类开展河流水系生态廊道建设，形成水清岸绿的生态碧道、融 入自然的休闲漫道、高质量发展的生态活力滨水经济带。通过水美乡村和水文化景观建设，改善流域水生态环境，提高生态环境的自我修复能力，复苏河湖生态环境；将水美乡村和水文化景观建设与乡村振兴战略有机结合，助推水文化景观旅游业健康发展，进一步提升</w:t>
      </w:r>
      <w:r>
        <w:rPr>
          <w:rFonts w:hint="default" w:ascii="Times New Roman" w:hAnsi="Times New Roman" w:eastAsia="宋体" w:cs="Times New Roman"/>
          <w:color w:val="auto"/>
          <w:kern w:val="0"/>
          <w:szCs w:val="28"/>
          <w:shd w:val="clear" w:color="auto" w:fill="FFFFFF"/>
          <w:lang w:val="en-US" w:eastAsia="zh-CN"/>
        </w:rPr>
        <w:t>泽州县</w:t>
      </w:r>
      <w:r>
        <w:rPr>
          <w:rFonts w:hint="default" w:ascii="Times New Roman" w:hAnsi="Times New Roman" w:eastAsia="宋体" w:cs="Times New Roman"/>
          <w:color w:val="auto"/>
          <w:kern w:val="0"/>
          <w:szCs w:val="28"/>
          <w:shd w:val="clear" w:color="auto" w:fill="FFFFFF"/>
          <w:lang w:eastAsia="zh-CN"/>
        </w:rPr>
        <w:t>对外形象，进而吸引更多的人才、资金、技术、游客，加快区域经济的全面协调可持续发展。</w:t>
      </w:r>
    </w:p>
    <w:p w14:paraId="6D1B002D">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p>
    <w:p w14:paraId="63EFB0E3">
      <w:pPr>
        <w:pStyle w:val="62"/>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hint="default" w:ascii="Times New Roman" w:hAnsi="Times New Roman" w:eastAsia="宋体" w:cs="Times New Roman"/>
          <w:color w:val="auto"/>
          <w:kern w:val="0"/>
          <w:szCs w:val="28"/>
          <w:shd w:val="clear" w:color="auto" w:fill="FFFFFF"/>
          <w:lang w:eastAsia="zh-CN"/>
        </w:rPr>
      </w:pPr>
    </w:p>
    <w:p w14:paraId="66DFF5F7">
      <w:pPr>
        <w:pStyle w:val="62"/>
        <w:spacing w:line="600" w:lineRule="exact"/>
        <w:ind w:firstLine="560"/>
        <w:rPr>
          <w:rFonts w:ascii="Times New Roman" w:hAnsi="Times New Roman" w:eastAsia="宋体" w:cs="Times New Roman"/>
          <w:color w:val="auto"/>
          <w:kern w:val="0"/>
          <w:szCs w:val="28"/>
          <w:shd w:val="clear" w:color="auto" w:fill="FFFFFF"/>
        </w:rPr>
      </w:pPr>
    </w:p>
    <w:p w14:paraId="4E38ED2C">
      <w:pPr>
        <w:pStyle w:val="62"/>
        <w:spacing w:line="600" w:lineRule="exact"/>
        <w:ind w:firstLine="560"/>
        <w:rPr>
          <w:rFonts w:ascii="Times New Roman" w:hAnsi="Times New Roman" w:eastAsia="宋体" w:cs="Times New Roman"/>
          <w:color w:val="auto"/>
          <w:kern w:val="0"/>
          <w:szCs w:val="28"/>
          <w:shd w:val="clear" w:color="auto" w:fill="FFFFFF"/>
        </w:rPr>
      </w:pPr>
    </w:p>
    <w:p w14:paraId="00E8EDA7">
      <w:pPr>
        <w:pStyle w:val="62"/>
        <w:spacing w:line="600" w:lineRule="exact"/>
        <w:ind w:firstLine="560"/>
        <w:rPr>
          <w:rFonts w:ascii="Times New Roman" w:hAnsi="Times New Roman" w:eastAsia="宋体" w:cs="Times New Roman"/>
          <w:color w:val="auto"/>
          <w:kern w:val="0"/>
          <w:szCs w:val="28"/>
          <w:shd w:val="clear" w:color="auto" w:fill="FFFFFF"/>
        </w:rPr>
      </w:pPr>
    </w:p>
    <w:p w14:paraId="3F050500">
      <w:pPr>
        <w:pStyle w:val="62"/>
        <w:spacing w:line="600" w:lineRule="exact"/>
        <w:ind w:firstLine="560"/>
        <w:rPr>
          <w:rFonts w:ascii="Times New Roman" w:hAnsi="Times New Roman" w:eastAsia="宋体" w:cs="Times New Roman"/>
          <w:color w:val="auto"/>
          <w:kern w:val="0"/>
          <w:szCs w:val="28"/>
          <w:shd w:val="clear" w:color="auto" w:fill="FFFFFF"/>
        </w:rPr>
      </w:pPr>
    </w:p>
    <w:p w14:paraId="6BEC4230">
      <w:pPr>
        <w:pStyle w:val="62"/>
        <w:spacing w:line="600" w:lineRule="exact"/>
        <w:ind w:firstLine="560"/>
        <w:rPr>
          <w:rFonts w:ascii="Times New Roman" w:hAnsi="Times New Roman" w:eastAsia="宋体" w:cs="Times New Roman"/>
          <w:color w:val="auto"/>
          <w:kern w:val="0"/>
          <w:szCs w:val="28"/>
          <w:shd w:val="clear" w:color="auto" w:fill="FFFFFF"/>
        </w:rPr>
      </w:pPr>
    </w:p>
    <w:p w14:paraId="0CBE8D7A">
      <w:pPr>
        <w:pStyle w:val="62"/>
        <w:spacing w:line="600" w:lineRule="exact"/>
        <w:ind w:firstLine="560"/>
        <w:rPr>
          <w:rFonts w:ascii="Times New Roman" w:hAnsi="Times New Roman" w:eastAsia="宋体" w:cs="Times New Roman"/>
          <w:color w:val="auto"/>
          <w:kern w:val="0"/>
          <w:szCs w:val="28"/>
          <w:shd w:val="clear" w:color="auto" w:fill="FFFFFF"/>
        </w:rPr>
      </w:pPr>
    </w:p>
    <w:p w14:paraId="6D16C7F4">
      <w:pPr>
        <w:pStyle w:val="62"/>
        <w:spacing w:line="600" w:lineRule="exact"/>
        <w:ind w:firstLine="560"/>
        <w:rPr>
          <w:rFonts w:ascii="Times New Roman" w:hAnsi="Times New Roman" w:eastAsia="宋体" w:cs="Times New Roman"/>
          <w:color w:val="auto"/>
          <w:kern w:val="0"/>
          <w:szCs w:val="28"/>
          <w:shd w:val="clear" w:color="auto" w:fill="FFFFFF"/>
        </w:rPr>
      </w:pPr>
    </w:p>
    <w:p w14:paraId="3CB834AF">
      <w:pPr>
        <w:pStyle w:val="4"/>
        <w:rPr>
          <w:rFonts w:hint="default" w:eastAsia="黑体"/>
          <w:lang w:val="en-US" w:eastAsia="zh-CN"/>
        </w:rPr>
      </w:pPr>
      <w:bookmarkStart w:id="176" w:name="_Toc14824"/>
      <w:r>
        <w:rPr>
          <w:rFonts w:hint="eastAsia"/>
          <w:lang w:val="en-US" w:eastAsia="zh-CN"/>
        </w:rPr>
        <w:t>9空间协调分析</w:t>
      </w:r>
      <w:bookmarkEnd w:id="176"/>
    </w:p>
    <w:p w14:paraId="51B5AB8F">
      <w:pPr>
        <w:pStyle w:val="5"/>
        <w:rPr>
          <w:rFonts w:hint="eastAsia"/>
          <w:lang w:val="en-US" w:eastAsia="zh-CN"/>
        </w:rPr>
      </w:pPr>
      <w:bookmarkStart w:id="177" w:name="_Toc13994"/>
      <w:r>
        <w:rPr>
          <w:rFonts w:hint="eastAsia"/>
          <w:lang w:val="en-US" w:eastAsia="zh-CN"/>
        </w:rPr>
        <w:t>9.1 涉水国土空间功能协调</w:t>
      </w:r>
      <w:bookmarkEnd w:id="177"/>
    </w:p>
    <w:p w14:paraId="122DBE8A">
      <w:pPr>
        <w:pStyle w:val="6"/>
        <w:rPr>
          <w:rFonts w:hint="eastAsia"/>
          <w:lang w:val="en-US" w:eastAsia="zh-CN"/>
        </w:rPr>
      </w:pPr>
      <w:r>
        <w:rPr>
          <w:rFonts w:hint="eastAsia"/>
          <w:lang w:val="en-US" w:eastAsia="zh-CN"/>
        </w:rPr>
        <w:t xml:space="preserve">9.1.1 涉水空间自身主导功能协调 </w:t>
      </w:r>
    </w:p>
    <w:p w14:paraId="68A07C1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（1）涉水空间叠加分析 </w:t>
      </w:r>
    </w:p>
    <w:p w14:paraId="3CF4B69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对各类涉水生态空间功能进行重要性和敏感性分析，合理确定同一空间单元的不同功能的排序，明确主导功能，应优先保证的列为首位，以水安全为主（防洪蓄滞洪区、饮用水源保护区），其次为水的自然属性（湖泊与河流），然后为生态多样性保护（为水土流失重点治理区、水土流失预防区）。按照功能排序， 依次在已有的底图上进行落图，并按照单一功能的外包边线初步确定涉水生态空间的整体边界范围，统计涉水生态空间各类型要素融合后去重叠的外包空间面积。 </w:t>
      </w:r>
    </w:p>
    <w:p w14:paraId="4821C9D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8"/>
          <w:szCs w:val="28"/>
          <w:lang w:val="en-US" w:eastAsia="zh-CN" w:bidi="ar"/>
        </w:rPr>
        <w:t>经统计，泽州县规划范围河道、湖泊涉水生态空间各类型要素融合后去重叠的外包空</w:t>
      </w:r>
      <w:r>
        <w:rPr>
          <w:rFonts w:hint="default" w:ascii="Times New Roman" w:hAnsi="Times New Roman" w:eastAsia="宋体" w:cs="Times New Roman"/>
          <w:b w:val="0"/>
          <w:bCs w:val="0"/>
          <w:color w:val="000000"/>
          <w:kern w:val="0"/>
          <w:sz w:val="28"/>
          <w:szCs w:val="28"/>
          <w:highlight w:val="none"/>
          <w:lang w:val="en-US" w:eastAsia="zh-CN" w:bidi="ar"/>
        </w:rPr>
        <w:t>间面积为</w:t>
      </w:r>
      <w:r>
        <w:rPr>
          <w:rFonts w:hint="eastAsia" w:eastAsia="宋体" w:cs="Times New Roman"/>
          <w:b w:val="0"/>
          <w:bCs w:val="0"/>
          <w:color w:val="000000"/>
          <w:kern w:val="0"/>
          <w:sz w:val="28"/>
          <w:szCs w:val="28"/>
          <w:highlight w:val="none"/>
          <w:lang w:val="en-US" w:eastAsia="zh-CN" w:bidi="ar"/>
        </w:rPr>
        <w:t>42.02km</w:t>
      </w:r>
      <w:r>
        <w:rPr>
          <w:rFonts w:hint="eastAsia" w:eastAsia="宋体" w:cs="Times New Roman"/>
          <w:b w:val="0"/>
          <w:bCs w:val="0"/>
          <w:color w:val="000000"/>
          <w:kern w:val="0"/>
          <w:sz w:val="28"/>
          <w:szCs w:val="28"/>
          <w:highlight w:val="none"/>
          <w:vertAlign w:val="superscript"/>
          <w:lang w:val="en-US" w:eastAsia="zh-CN" w:bidi="ar"/>
        </w:rPr>
        <w:t>2</w:t>
      </w:r>
      <w:r>
        <w:rPr>
          <w:rFonts w:hint="default" w:ascii="Times New Roman" w:hAnsi="Times New Roman" w:eastAsia="宋体" w:cs="Times New Roman"/>
          <w:b w:val="0"/>
          <w:bCs w:val="0"/>
          <w:color w:val="000000"/>
          <w:kern w:val="0"/>
          <w:sz w:val="28"/>
          <w:szCs w:val="28"/>
          <w:highlight w:val="none"/>
          <w:lang w:val="en-US" w:eastAsia="zh-CN" w:bidi="ar"/>
        </w:rPr>
        <w:t>。</w:t>
      </w:r>
      <w:r>
        <w:rPr>
          <w:rFonts w:hint="default" w:ascii="Times New Roman" w:hAnsi="Times New Roman" w:eastAsia="宋体" w:cs="Times New Roman"/>
          <w:b w:val="0"/>
          <w:bCs w:val="0"/>
          <w:color w:val="000000"/>
          <w:kern w:val="0"/>
          <w:sz w:val="28"/>
          <w:szCs w:val="28"/>
          <w:lang w:val="en-US" w:eastAsia="zh-CN" w:bidi="ar"/>
        </w:rPr>
        <w:t xml:space="preserve"> </w:t>
      </w:r>
    </w:p>
    <w:p w14:paraId="5858121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（2）涉水空间与生态保护红线协调意见 </w:t>
      </w:r>
    </w:p>
    <w:p w14:paraId="5963EA3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①将重要水源涵养功能区、饮用水水源保护区、水土保持生态功能重要区域以及水土流失生态环境敏感脆弱区等纳入生态保护红线，实行严格管控。 </w:t>
      </w:r>
    </w:p>
    <w:p w14:paraId="5FFACA2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②对需要付诸于水利工程建设的治理区域，比如有防洪、供水、生态等开发治理任务的河湖水域，特别是重要江河、湖泊、河口等区域，除了自然保护地范围，原则上不划入生态保护红线及国家公园候选区。 </w:t>
      </w:r>
    </w:p>
    <w:p w14:paraId="55E6E3A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pPr>
      <w:r>
        <w:rPr>
          <w:rFonts w:hint="default" w:ascii="Times New Roman" w:hAnsi="Times New Roman" w:eastAsia="宋体" w:cs="Times New Roman"/>
          <w:b w:val="0"/>
          <w:bCs w:val="0"/>
          <w:color w:val="000000"/>
          <w:kern w:val="0"/>
          <w:sz w:val="28"/>
          <w:szCs w:val="28"/>
          <w:lang w:val="en-US" w:eastAsia="zh-CN" w:bidi="ar"/>
        </w:rPr>
        <w:t>③确保河湖水域空间不减少，原则上将河湖管理范围落到国土“一张图”上。</w:t>
      </w:r>
      <w:r>
        <w:rPr>
          <w:rFonts w:hint="default" w:ascii="CIDFont + F1" w:hAnsi="CIDFont + F1" w:eastAsia="CIDFont + F1" w:cs="CIDFont + F1"/>
          <w:b w:val="0"/>
          <w:bCs w:val="0"/>
          <w:color w:val="000000"/>
          <w:kern w:val="0"/>
          <w:sz w:val="24"/>
          <w:szCs w:val="24"/>
          <w:lang w:val="en-US" w:eastAsia="zh-CN" w:bidi="ar"/>
        </w:rPr>
        <w:t xml:space="preserve"> </w:t>
      </w:r>
    </w:p>
    <w:p w14:paraId="335C59F0">
      <w:pPr>
        <w:pStyle w:val="6"/>
        <w:rPr>
          <w:rFonts w:hint="default"/>
          <w:lang w:val="en-US" w:eastAsia="zh-CN"/>
        </w:rPr>
      </w:pPr>
      <w:r>
        <w:rPr>
          <w:rFonts w:hint="eastAsia"/>
          <w:lang w:val="en-US" w:eastAsia="zh-CN"/>
        </w:rPr>
        <w:t>9.1.2 与国土空间功能协调</w:t>
      </w:r>
    </w:p>
    <w:p w14:paraId="737774A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对涉水空间与城镇空间、农业基本农田空间进行协调，若涉水生态空间与其它空间范围划定存在重叠问题，对重叠区域范围的服务功能进行重要性评估分析，合理确定涉水生态空间范围，统计涉水空间与城镇空间、农业基本农田空间重叠面积。 </w:t>
      </w:r>
    </w:p>
    <w:p w14:paraId="3E3D1EF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本次水利空间规划以泽州县第三次国土调查和泽州县正在制定的“三区三线”初步成果为工作底数底图，其中城镇开发边界采用“三区三线”初拟成果，基本农田红线仍然采用土地调查成果。 </w:t>
      </w:r>
    </w:p>
    <w:p w14:paraId="623DB11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 xml:space="preserve">（1）涉水空间与城镇空间分析 </w:t>
      </w:r>
    </w:p>
    <w:p w14:paraId="182D147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1）空间分析 </w:t>
      </w:r>
    </w:p>
    <w:p w14:paraId="0242696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vertAlign w:val="baseline"/>
        </w:rPr>
      </w:pPr>
      <w:r>
        <w:rPr>
          <w:rFonts w:hint="eastAsia" w:ascii="宋体" w:hAnsi="宋体" w:eastAsia="宋体" w:cs="宋体"/>
          <w:b w:val="0"/>
          <w:bCs w:val="0"/>
          <w:color w:val="000000"/>
          <w:kern w:val="0"/>
          <w:sz w:val="28"/>
          <w:szCs w:val="28"/>
          <w:lang w:val="en-US" w:eastAsia="zh-CN" w:bidi="ar"/>
        </w:rPr>
        <w:t>本次城镇开发边界以土底图中城镇建设用地和村镇建设用地合并数为城镇开发边界，进而分析涉水生态空间与城镇空间的重叠情况。经统计主要河道涉水生态空间与城镇空间重叠面积约为</w:t>
      </w:r>
      <w:r>
        <w:rPr>
          <w:rFonts w:hint="eastAsia" w:ascii="宋体" w:hAnsi="宋体" w:eastAsia="宋体" w:cs="宋体"/>
          <w:b w:val="0"/>
          <w:bCs w:val="0"/>
          <w:color w:val="000000"/>
          <w:kern w:val="0"/>
          <w:sz w:val="28"/>
          <w:szCs w:val="28"/>
          <w:highlight w:val="none"/>
          <w:lang w:val="en-US" w:eastAsia="zh-CN" w:bidi="ar"/>
        </w:rPr>
        <w:t>8.281km</w:t>
      </w:r>
      <w:r>
        <w:rPr>
          <w:rFonts w:hint="eastAsia" w:ascii="宋体" w:hAnsi="宋体" w:eastAsia="宋体" w:cs="宋体"/>
          <w:b w:val="0"/>
          <w:bCs w:val="0"/>
          <w:color w:val="000000"/>
          <w:kern w:val="0"/>
          <w:sz w:val="28"/>
          <w:szCs w:val="28"/>
          <w:highlight w:val="none"/>
          <w:vertAlign w:val="superscript"/>
          <w:lang w:val="en-US" w:eastAsia="zh-CN" w:bidi="ar"/>
        </w:rPr>
        <w:t>2</w:t>
      </w:r>
      <w:r>
        <w:rPr>
          <w:rFonts w:hint="eastAsia" w:ascii="宋体" w:hAnsi="宋体" w:eastAsia="宋体" w:cs="宋体"/>
          <w:b w:val="0"/>
          <w:bCs w:val="0"/>
          <w:color w:val="000000"/>
          <w:kern w:val="0"/>
          <w:sz w:val="28"/>
          <w:szCs w:val="28"/>
          <w:highlight w:val="none"/>
          <w:vertAlign w:val="baseline"/>
          <w:lang w:val="en-US" w:eastAsia="zh-CN" w:bidi="ar"/>
        </w:rPr>
        <w:t>。</w:t>
      </w:r>
    </w:p>
    <w:p w14:paraId="5BB24BAF">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2）协调意见或建议 </w:t>
      </w:r>
    </w:p>
    <w:p w14:paraId="5EB8DA6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根据《山西省河道管理条例》：“有堤防的河道，其管理范围为两岸堤防之间的水域、沙洲、滩地、行洪区以及堤防和护堤地；无堤防的河道，其管理范围为两岸历史最高洪水位或者设计洪水位之间的水域、沙洲、滩地和行洪区。” “在河道管理范围内，禁止下列活动：（一）建设房屋等妨碍行洪的建 筑物、构筑物；（二）修建围堤、阻水渠道、阻水道路；（三）在行洪河道内种 植阻碍行洪的林木和高杆作物；……。” </w:t>
      </w:r>
    </w:p>
    <w:p w14:paraId="0455FF39">
      <w:pPr>
        <w:keepNext w:val="0"/>
        <w:keepLines w:val="0"/>
        <w:pageBreakBefore w:val="0"/>
        <w:kinsoku/>
        <w:wordWrap/>
        <w:overflowPunct/>
        <w:topLinePunct w:val="0"/>
        <w:autoSpaceDE/>
        <w:autoSpaceDN/>
        <w:bidi w:val="0"/>
        <w:adjustRightInd w:val="0"/>
        <w:snapToGrid w:val="0"/>
        <w:spacing w:line="360" w:lineRule="auto"/>
        <w:ind w:left="0" w:leftChars="0" w:firstLine="560" w:firstLineChars="200"/>
        <w:textAlignment w:val="auto"/>
        <w:rPr>
          <w:rFonts w:hint="eastAsia" w:ascii="宋体" w:hAnsi="宋体" w:eastAsia="宋体" w:cs="宋体"/>
          <w:b w:val="0"/>
          <w:bCs w:val="0"/>
          <w:color w:val="000000"/>
          <w:sz w:val="28"/>
          <w:szCs w:val="28"/>
        </w:rPr>
      </w:pPr>
      <w:r>
        <w:rPr>
          <w:rFonts w:hint="eastAsia" w:ascii="宋体" w:hAnsi="宋体" w:eastAsia="宋体" w:cs="宋体"/>
          <w:b w:val="0"/>
          <w:bCs w:val="0"/>
          <w:color w:val="000000"/>
          <w:sz w:val="28"/>
          <w:szCs w:val="28"/>
        </w:rPr>
        <w:t>城镇建设不得侵占河湖水域岸线、河湖管理范围。城镇建设和发展不得违法 违规侵占河道、湖面、滩地，确保河湖水与岸线空间不减少。城镇建设要充分考虑洪涝空间和出路，预留足够的雨洪水存蓄空间、排泄通道，为相关设施建设预留用地。</w:t>
      </w:r>
    </w:p>
    <w:p w14:paraId="0E7D901A">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 xml:space="preserve">涉水空间与基本农田空间分析 </w:t>
      </w:r>
    </w:p>
    <w:p w14:paraId="424C1BDA">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1）空间分析 </w:t>
      </w:r>
    </w:p>
    <w:p w14:paraId="12F6B2A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vertAlign w:val="baseline"/>
        </w:rPr>
      </w:pPr>
      <w:r>
        <w:rPr>
          <w:rFonts w:hint="eastAsia" w:ascii="宋体" w:hAnsi="宋体" w:eastAsia="宋体" w:cs="宋体"/>
          <w:b w:val="0"/>
          <w:bCs w:val="0"/>
          <w:color w:val="000000"/>
          <w:kern w:val="0"/>
          <w:sz w:val="28"/>
          <w:szCs w:val="28"/>
          <w:lang w:val="en-US" w:eastAsia="zh-CN" w:bidi="ar"/>
        </w:rPr>
        <w:t>本次根据泽州县基本农田保护区的范围，分析涉水空间与基本农田的重叠情况。经统计主要河道涉水生态空间与基本农田空间重叠面积约为</w:t>
      </w:r>
      <w:r>
        <w:rPr>
          <w:rFonts w:hint="eastAsia" w:ascii="宋体" w:hAnsi="宋体" w:eastAsia="宋体" w:cs="宋体"/>
          <w:b w:val="0"/>
          <w:bCs w:val="0"/>
          <w:color w:val="000000"/>
          <w:kern w:val="0"/>
          <w:sz w:val="28"/>
          <w:szCs w:val="28"/>
          <w:highlight w:val="none"/>
          <w:lang w:val="en-US" w:eastAsia="zh-CN" w:bidi="ar"/>
        </w:rPr>
        <w:t>26.225km</w:t>
      </w:r>
      <w:r>
        <w:rPr>
          <w:rFonts w:hint="eastAsia" w:ascii="宋体" w:hAnsi="宋体" w:eastAsia="宋体" w:cs="宋体"/>
          <w:b w:val="0"/>
          <w:bCs w:val="0"/>
          <w:color w:val="000000"/>
          <w:kern w:val="0"/>
          <w:sz w:val="28"/>
          <w:szCs w:val="28"/>
          <w:highlight w:val="none"/>
          <w:vertAlign w:val="superscript"/>
          <w:lang w:val="en-US" w:eastAsia="zh-CN" w:bidi="ar"/>
        </w:rPr>
        <w:t>2</w:t>
      </w:r>
      <w:r>
        <w:rPr>
          <w:rFonts w:hint="eastAsia" w:ascii="宋体" w:hAnsi="宋体" w:eastAsia="宋体" w:cs="宋体"/>
          <w:b w:val="0"/>
          <w:bCs w:val="0"/>
          <w:color w:val="000000"/>
          <w:kern w:val="0"/>
          <w:sz w:val="28"/>
          <w:szCs w:val="28"/>
          <w:highlight w:val="none"/>
          <w:vertAlign w:val="baseline"/>
          <w:lang w:val="en-US" w:eastAsia="zh-CN" w:bidi="ar"/>
        </w:rPr>
        <w:t>。</w:t>
      </w:r>
    </w:p>
    <w:p w14:paraId="46C6481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2）协调意见或建议 </w:t>
      </w:r>
    </w:p>
    <w:p w14:paraId="17E930DD">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根据《中华人民共和国水法》：“河道管理范围 内的水域、沙洲、滩地和行洪区属于河道行洪通道，不作为基本农田保护区，不得建设阻碍行洪的建筑物、构筑物。” </w:t>
      </w:r>
    </w:p>
    <w:p w14:paraId="69437763">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b w:val="0"/>
          <w:bCs w:val="0"/>
          <w:color w:val="000000"/>
          <w:kern w:val="0"/>
          <w:sz w:val="28"/>
          <w:szCs w:val="28"/>
          <w:lang w:val="en-US" w:eastAsia="zh-CN" w:bidi="ar"/>
        </w:rPr>
      </w:pPr>
      <w:r>
        <w:rPr>
          <w:rFonts w:hint="eastAsia" w:ascii="宋体" w:hAnsi="宋体" w:eastAsia="宋体" w:cs="宋体"/>
          <w:b w:val="0"/>
          <w:bCs w:val="0"/>
          <w:color w:val="000000"/>
          <w:kern w:val="0"/>
          <w:sz w:val="28"/>
          <w:szCs w:val="28"/>
          <w:lang w:val="en-US" w:eastAsia="zh-CN" w:bidi="ar"/>
        </w:rPr>
        <w:t>根据《自然资源部农业农村部关于加强和改进永久基本农田保护工作的通知》 （自然资规〔2019〕1 号）第“二、巩固永久基本农田划定成果”之“（四）全面清 理划定不实问题。根据《土地管理法》《基本农田保护条例》等法律法规要求， 对下列不符合要求的耕地或其他土地错划入永久基本农田的，按照“总体稳定、局 部微调、量质并重”的原则，进行整改补划，并相应对“两区”进行调整，按法定程序修改相应的土地利用总体规划。</w:t>
      </w:r>
    </w:p>
    <w:p w14:paraId="17B8662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1.将不符合《基本农田划定技术规程》要求的建设用地、林地、草地、园地、湿地、水域及水利设施用地等划入永久基本农田的； </w:t>
      </w:r>
    </w:p>
    <w:p w14:paraId="1E243076">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2.河道两岸堤防之间范围内不适宜稳定利用的耕地；……；法律法规确定的其他禁止或不适宜划入永久基本农田保护的土地。” </w:t>
      </w:r>
    </w:p>
    <w:p w14:paraId="1BD8E41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涉水空间与基本农田空间协调意见如下： </w:t>
      </w:r>
    </w:p>
    <w:p w14:paraId="638B2D3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①严格管控河湖库滩地内耕地规模和数量。对河湖管理范围内的现状耕地，严格管控规模和数量。 </w:t>
      </w:r>
    </w:p>
    <w:p w14:paraId="28901AA9">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②对河湖内“不稳定耕地”分类处置。在不妨碍行洪、蓄洪和输水的前提下，对不同情形河湖内耕地，经调查举证，分类处置。河湖内的耕地，属于国土“三调”不稳定耕地。按照《防洪法》《土地管理法》《水土保持法》等法律法规和有关文件规定，禁止围湖造田和侵占江河滩地，已经围垦的，要有计划退耕还湖。对河湖内现有永久基本农田，本次应调出，且不可新补划为永久基本农田；主河槽内耕地、水库征地红线以下耕地、“二调”以来新开垦的河湖管理范围内耕地原则上应调出；其他耕地根据洪水上滩几率，视实际情况予以保留或退出。其中，对洪水上滩几率为 3 年一遇以下的，应予以退出。 </w:t>
      </w:r>
    </w:p>
    <w:p w14:paraId="0107327A">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③河湖管理范围内不能新增耕地。对现状管理范围的近期无法调出的耕地，原则上只能保留为不稳定利用耕地，且不得影响河道行洪安全，并采取防止产生影响水质的措施，保障供水及防洪安全。 </w:t>
      </w:r>
    </w:p>
    <w:p w14:paraId="2B63BA4E">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宋体"/>
          <w:sz w:val="28"/>
          <w:szCs w:val="28"/>
        </w:rPr>
      </w:pPr>
      <w:r>
        <w:rPr>
          <w:rFonts w:hint="eastAsia" w:ascii="宋体" w:hAnsi="宋体" w:eastAsia="宋体" w:cs="宋体"/>
          <w:b w:val="0"/>
          <w:bCs w:val="0"/>
          <w:color w:val="000000"/>
          <w:kern w:val="0"/>
          <w:sz w:val="28"/>
          <w:szCs w:val="28"/>
          <w:lang w:val="en-US" w:eastAsia="zh-CN" w:bidi="ar"/>
        </w:rPr>
        <w:t xml:space="preserve">④防止通过占用水域空间调整补足耕地。对“即可恢复”和“工程恢复”地 类，要防止通过占用河湖水域、滩地及农村水系，调整补足耕地。因占补平衡需 要补充的耕地，原则上不得在河湖管理范围内补充。 </w:t>
      </w:r>
    </w:p>
    <w:p w14:paraId="6B7D799A">
      <w:pPr>
        <w:pStyle w:val="5"/>
        <w:rPr>
          <w:rFonts w:hint="eastAsia"/>
          <w:lang w:val="en-US" w:eastAsia="zh-CN"/>
        </w:rPr>
      </w:pPr>
      <w:bookmarkStart w:id="178" w:name="_Toc11833"/>
      <w:r>
        <w:rPr>
          <w:rFonts w:hint="eastAsia"/>
          <w:lang w:val="en-US" w:eastAsia="zh-CN"/>
        </w:rPr>
        <w:t>9.2 水利基础设施与“</w:t>
      </w:r>
      <w:r>
        <w:rPr>
          <w:rFonts w:hint="default"/>
          <w:lang w:val="en-US" w:eastAsia="zh-CN"/>
        </w:rPr>
        <w:t>三区三线”协调性分析</w:t>
      </w:r>
      <w:bookmarkEnd w:id="178"/>
    </w:p>
    <w:p w14:paraId="3770EF81">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泽州县现状已建、在建水库、水闸、泵站、堤防和引调水等水利工程管理范围面积</w:t>
      </w:r>
      <w:r>
        <w:rPr>
          <w:rFonts w:hint="default" w:ascii="Times New Roman" w:hAnsi="Times New Roman" w:eastAsia="宋体" w:cs="Times New Roman"/>
          <w:b w:val="0"/>
          <w:bCs w:val="0"/>
          <w:color w:val="auto"/>
          <w:kern w:val="0"/>
          <w:sz w:val="28"/>
          <w:szCs w:val="28"/>
          <w:highlight w:val="none"/>
          <w:lang w:val="en-US" w:eastAsia="zh-CN" w:bidi="ar"/>
        </w:rPr>
        <w:t>57.735km</w:t>
      </w:r>
      <w:r>
        <w:rPr>
          <w:rFonts w:hint="default" w:ascii="Times New Roman" w:hAnsi="Times New Roman" w:eastAsia="宋体" w:cs="Times New Roman"/>
          <w:b w:val="0"/>
          <w:bCs w:val="0"/>
          <w:color w:val="auto"/>
          <w:kern w:val="0"/>
          <w:sz w:val="28"/>
          <w:szCs w:val="28"/>
          <w:highlight w:val="none"/>
          <w:vertAlign w:val="superscript"/>
          <w:lang w:val="en-US" w:eastAsia="zh-CN" w:bidi="ar"/>
        </w:rPr>
        <w:t>2</w:t>
      </w:r>
      <w:r>
        <w:rPr>
          <w:rFonts w:hint="default" w:ascii="Times New Roman" w:hAnsi="Times New Roman" w:eastAsia="宋体" w:cs="Times New Roman"/>
          <w:b w:val="0"/>
          <w:bCs w:val="0"/>
          <w:color w:val="auto"/>
          <w:kern w:val="0"/>
          <w:sz w:val="28"/>
          <w:szCs w:val="28"/>
          <w:highlight w:val="none"/>
          <w:lang w:val="en-US" w:eastAsia="zh-CN" w:bidi="ar"/>
        </w:rPr>
        <w:t>，预留建设用地规模 21.781km²</w:t>
      </w:r>
      <w:r>
        <w:rPr>
          <w:rFonts w:hint="eastAsia" w:ascii="Times New Roman" w:hAnsi="Times New Roman" w:eastAsia="宋体" w:cs="Times New Roman"/>
          <w:b w:val="0"/>
          <w:bCs w:val="0"/>
          <w:color w:val="auto"/>
          <w:kern w:val="0"/>
          <w:sz w:val="28"/>
          <w:szCs w:val="28"/>
          <w:highlight w:val="none"/>
          <w:lang w:val="en-US" w:eastAsia="zh-CN" w:bidi="ar"/>
        </w:rPr>
        <w:t>。</w:t>
      </w:r>
    </w:p>
    <w:p w14:paraId="1B81318C">
      <w:pPr>
        <w:pStyle w:val="6"/>
        <w:rPr>
          <w:rFonts w:hint="eastAsia"/>
          <w:lang w:val="en-US" w:eastAsia="zh-CN"/>
        </w:rPr>
      </w:pPr>
      <w:r>
        <w:rPr>
          <w:rFonts w:hint="eastAsia"/>
          <w:lang w:val="en-US" w:eastAsia="zh-CN"/>
        </w:rPr>
        <w:t>9.2.1 与生态保护红线协调</w:t>
      </w:r>
    </w:p>
    <w:p w14:paraId="745C2BCC">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生态保护红线和水利项目的协调划定总原则： </w:t>
      </w:r>
    </w:p>
    <w:p w14:paraId="484B5DAB">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（1）原则上自然保护区核心区和缓冲区外，有明确选址，有主管部门的项目批复或用地批复的项目，建议调整红线。 </w:t>
      </w:r>
    </w:p>
    <w:p w14:paraId="09100593">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（2）为了维护生态功能的系统性和完整性，位于自然保护区核心区、缓冲区内的各类项目，位于重要江河源头区和珍稀濒危物种集中分布地的人工商品林，原则上不调整红线。 </w:t>
      </w:r>
    </w:p>
    <w:p w14:paraId="73835A9C">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（3）对于红线内允许的8类有限人为活动，原则上保留在红线内，按照管控 要求进行管理。 </w:t>
      </w:r>
    </w:p>
    <w:p w14:paraId="77DA5C16">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生态保护红线内，自然保护地核心保护区原则上禁止人为活动；其他区域严格禁止开发性、生产性建设活动，在符合现行法律法规前提下，除国家重大战略 项目外，仅允许对生态功能不造成破坏的 8 类有限人为活动如下： </w:t>
      </w:r>
    </w:p>
    <w:p w14:paraId="303C9881">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①零星的原住民在不扩大现有建设用地和耕地规模前提下，修缮生产生活设施，保留生活必需的少量种植、放牧、捕捞、养殖； </w:t>
      </w:r>
    </w:p>
    <w:p w14:paraId="742F81A0">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②因国家重大能源资源安全需要开展的战略性能源资源勘查，公益性自然资 源调查和地质勘查； </w:t>
      </w:r>
    </w:p>
    <w:p w14:paraId="79B197E2">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③自然资源、生态环境监测和执法包括水文水资源监测及涉水违法事件的查 处等，灾害防治和应急抢险活动； </w:t>
      </w:r>
    </w:p>
    <w:p w14:paraId="6CEF70AD">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④经依法批准进行的非破坏性科学研究观测、标本采集； </w:t>
      </w:r>
    </w:p>
    <w:p w14:paraId="4A6F42B2">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⑤经依法批准的考古调查发掘和文物保护活动； </w:t>
      </w:r>
    </w:p>
    <w:p w14:paraId="10E82942">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⑥不破坏生态功能的适度参观旅游和相关的必要公共设施建设； </w:t>
      </w:r>
    </w:p>
    <w:p w14:paraId="0877E7DE">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⑦必须且无法避让、符合县级以上国土空间规划的线性基础设施建设、防洪 和供水设施建设与运行维护； </w:t>
      </w:r>
    </w:p>
    <w:p w14:paraId="001611C8">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⑧重要生态修复工程。 </w:t>
      </w:r>
    </w:p>
    <w:p w14:paraId="58C24DC8">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（4）与水利设施相关的5类有限人为活动及红线调整原则。 </w:t>
      </w:r>
    </w:p>
    <w:p w14:paraId="365EBA10">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根据《生态保护红线管理办法（试行）》（征求意见稿）“第九条【正面清单】 要求，生态保护红线内、自然保护地核心保护区外，在符合现行法律法规的前提 下，除国家重大项目外，仅允许对生态功能不造成破坏的有限人为活动……（六） 必须且无法避让，符合县级以上国土空间规划的线性基础设施建设、防洪和供水设施建设与运行维护……。 </w:t>
      </w:r>
    </w:p>
    <w:p w14:paraId="70B0E068">
      <w:pPr>
        <w:pStyle w:val="6"/>
        <w:rPr>
          <w:rFonts w:hint="eastAsia"/>
          <w:lang w:val="en-US" w:eastAsia="zh-CN"/>
        </w:rPr>
      </w:pPr>
      <w:r>
        <w:rPr>
          <w:rFonts w:hint="eastAsia"/>
          <w:lang w:val="en-US" w:eastAsia="zh-CN"/>
        </w:rPr>
        <w:t xml:space="preserve">9.2.2 与城镇开发边界协调 </w:t>
      </w:r>
    </w:p>
    <w:p w14:paraId="541174B0">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城镇开发边界是在一定时期内因城镇发展需要，可以集中进行城镇开发建设、 以城镇功能为主的区域边界，涉及城市、建制镇以及各类开发区等。城镇开发边界划定以城镇开发建设现状为基础，综合考虑资源承载能力、人口分布、经济布局、城乡统筹、城镇发展阶段和发展潜力，框定总量，限定容量，防止城镇无序蔓延。科学预留一定比例的留白区，为未来发展留有开发空间。城镇建设和发展不得违法违规侵占河道、湖面、滩地。 </w:t>
      </w:r>
    </w:p>
    <w:p w14:paraId="4629A477">
      <w:pPr>
        <w:keepNext w:val="0"/>
        <w:keepLines w:val="0"/>
        <w:widowControl/>
        <w:suppressLineNumbers w:val="0"/>
        <w:jc w:val="left"/>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城镇开发边界涉及已建、在建水利基础设施管理范围的建议尽量调整，如难以调整，应避免挤压、占用现状水利基础设施管理范围，为水利设施维护及改扩建留出空间。水利基础设施预留空间尽量避免占用城镇密集区，对于为支撑城镇经济社会发展需要占用城镇空间时，在城镇建设空间范围内预留水利基础设施建设用地。需县级层面在全市空间规划中协调城镇开发边界与现状水利工程管理范围及规划水利工程预留用地的冲突问题。 </w:t>
      </w:r>
    </w:p>
    <w:p w14:paraId="7D7AD50A">
      <w:pPr>
        <w:pStyle w:val="6"/>
        <w:rPr>
          <w:rFonts w:hint="eastAsia"/>
          <w:lang w:val="en-US" w:eastAsia="zh-CN"/>
        </w:rPr>
      </w:pPr>
      <w:r>
        <w:rPr>
          <w:rFonts w:hint="eastAsia"/>
          <w:lang w:val="en-US" w:eastAsia="zh-CN"/>
        </w:rPr>
        <w:t>9.2.3 与永久基本农田协调</w:t>
      </w:r>
    </w:p>
    <w:p w14:paraId="1032B73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全面梳理县域永久基本农田范围内纯耕地、即可恢复地类、工程可恢复地类、建设用地及其他地类情况，特别是要进一步摸清上述纯耕地及即可恢复地类范围内重度污染地块、25 度及以上坡地块、河道滩涂范围内无法稳定利用地块、零星分散规模 较小地块（按照距离不超过450 米进行图斑聚合形成的整体面积不超过15亩的图斑地块）等不符合永久基本农田划定要求地块情况，“城镇开发边界范围内近期拟建、已明确选址的重大基础设施（含相关的配 套公益性设施）和民生项目涉及确实难以避让的永久基本农田和永久基本农田范 围外国土‘三调’纯耕地的，形成有关地块台账和矢量分析图，按照国家后续有关规 定进行处置。</w:t>
      </w:r>
    </w:p>
    <w:p w14:paraId="082AC5B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sz w:val="28"/>
          <w:szCs w:val="28"/>
        </w:rPr>
      </w:pPr>
      <w:r>
        <w:rPr>
          <w:rFonts w:hint="default" w:ascii="Times New Roman" w:hAnsi="Times New Roman" w:eastAsia="宋体" w:cs="Times New Roman"/>
          <w:b w:val="0"/>
          <w:bCs w:val="0"/>
          <w:color w:val="000000"/>
          <w:kern w:val="0"/>
          <w:sz w:val="28"/>
          <w:szCs w:val="28"/>
          <w:lang w:val="en-US" w:eastAsia="zh-CN" w:bidi="ar"/>
        </w:rPr>
        <w:t xml:space="preserve">水利工程管理范围内不能新增耕地，对现状管理范围的近期无法调出的耕地， 原则上只能保留为不稳定利用耕地，建议对现状及规划水利基础设施管理范围内基本农田清退，为日后扩建及建设留有余地。需市级层面在全市空间规划中协调基本农田与现状水利工程管理范围及规划水利工程预留用地的冲突问题。 </w:t>
      </w:r>
    </w:p>
    <w:p w14:paraId="761BEDEC">
      <w:pPr>
        <w:pStyle w:val="62"/>
        <w:spacing w:line="600" w:lineRule="exact"/>
        <w:rPr>
          <w:rFonts w:ascii="Times New Roman" w:hAnsi="Times New Roman" w:eastAsia="宋体" w:cs="Times New Roman"/>
          <w:color w:val="auto"/>
          <w:szCs w:val="28"/>
        </w:rPr>
      </w:pPr>
    </w:p>
    <w:p w14:paraId="42A043E0">
      <w:pPr>
        <w:pStyle w:val="62"/>
        <w:spacing w:line="600" w:lineRule="exact"/>
        <w:ind w:firstLine="560"/>
        <w:rPr>
          <w:rFonts w:ascii="Times New Roman" w:hAnsi="Times New Roman" w:eastAsia="宋体" w:cs="Times New Roman"/>
          <w:color w:val="auto"/>
          <w:szCs w:val="28"/>
        </w:rPr>
      </w:pPr>
    </w:p>
    <w:p w14:paraId="667EF3F5">
      <w:pPr>
        <w:pStyle w:val="62"/>
        <w:spacing w:line="600" w:lineRule="exact"/>
        <w:ind w:firstLine="560"/>
        <w:rPr>
          <w:rFonts w:ascii="Times New Roman" w:hAnsi="Times New Roman" w:eastAsia="宋体" w:cs="Times New Roman"/>
          <w:color w:val="auto"/>
          <w:szCs w:val="28"/>
        </w:rPr>
      </w:pPr>
    </w:p>
    <w:p w14:paraId="548B9EEF">
      <w:pPr>
        <w:pStyle w:val="62"/>
        <w:spacing w:line="600" w:lineRule="exact"/>
        <w:ind w:firstLine="560"/>
        <w:rPr>
          <w:rFonts w:ascii="Times New Roman" w:hAnsi="Times New Roman" w:eastAsia="宋体" w:cs="Times New Roman"/>
          <w:color w:val="auto"/>
          <w:szCs w:val="28"/>
        </w:rPr>
      </w:pPr>
    </w:p>
    <w:p w14:paraId="72206D26">
      <w:pPr>
        <w:pStyle w:val="62"/>
        <w:spacing w:line="600" w:lineRule="exact"/>
        <w:ind w:firstLine="560"/>
        <w:rPr>
          <w:rFonts w:ascii="Times New Roman" w:hAnsi="Times New Roman" w:eastAsia="宋体" w:cs="Times New Roman"/>
          <w:color w:val="auto"/>
          <w:szCs w:val="28"/>
        </w:rPr>
      </w:pPr>
    </w:p>
    <w:p w14:paraId="72304286">
      <w:pPr>
        <w:pStyle w:val="62"/>
        <w:spacing w:line="600" w:lineRule="exact"/>
        <w:ind w:firstLine="560"/>
        <w:rPr>
          <w:rFonts w:ascii="Times New Roman" w:hAnsi="Times New Roman" w:eastAsia="宋体" w:cs="Times New Roman"/>
          <w:color w:val="auto"/>
          <w:szCs w:val="28"/>
        </w:rPr>
      </w:pPr>
    </w:p>
    <w:p w14:paraId="14C94E79">
      <w:pPr>
        <w:pStyle w:val="62"/>
        <w:spacing w:line="600" w:lineRule="exact"/>
        <w:ind w:firstLine="560"/>
        <w:rPr>
          <w:rFonts w:ascii="Times New Roman" w:hAnsi="Times New Roman" w:eastAsia="宋体" w:cs="Times New Roman"/>
          <w:color w:val="auto"/>
          <w:szCs w:val="28"/>
        </w:rPr>
      </w:pPr>
    </w:p>
    <w:p w14:paraId="0EC3F816">
      <w:pPr>
        <w:pStyle w:val="62"/>
        <w:spacing w:line="600" w:lineRule="exact"/>
        <w:ind w:firstLine="560"/>
        <w:rPr>
          <w:rFonts w:ascii="Times New Roman" w:hAnsi="Times New Roman" w:eastAsia="宋体" w:cs="Times New Roman"/>
          <w:color w:val="auto"/>
          <w:szCs w:val="28"/>
        </w:rPr>
      </w:pPr>
    </w:p>
    <w:p w14:paraId="2BC4C048">
      <w:pPr>
        <w:pStyle w:val="62"/>
        <w:spacing w:line="600" w:lineRule="exact"/>
        <w:ind w:firstLine="560"/>
        <w:rPr>
          <w:rFonts w:ascii="Times New Roman" w:hAnsi="Times New Roman" w:eastAsia="宋体" w:cs="Times New Roman"/>
          <w:color w:val="auto"/>
          <w:szCs w:val="28"/>
        </w:rPr>
      </w:pPr>
    </w:p>
    <w:p w14:paraId="04BE957A">
      <w:pPr>
        <w:pStyle w:val="4"/>
      </w:pPr>
      <w:bookmarkStart w:id="179" w:name="_Toc9979"/>
      <w:r>
        <w:rPr>
          <w:rFonts w:hint="eastAsia"/>
          <w:lang w:val="en-US" w:eastAsia="zh-CN"/>
        </w:rPr>
        <w:t>10</w:t>
      </w:r>
      <w:r>
        <w:t>涉</w:t>
      </w:r>
      <w:r>
        <w:rPr>
          <w:highlight w:val="none"/>
        </w:rPr>
        <w:t>水空间管控与保护</w:t>
      </w:r>
      <w:bookmarkEnd w:id="179"/>
    </w:p>
    <w:p w14:paraId="33B534DF">
      <w:pPr>
        <w:pStyle w:val="5"/>
      </w:pPr>
      <w:bookmarkStart w:id="180" w:name="_Toc25494"/>
      <w:r>
        <w:rPr>
          <w:rFonts w:hint="eastAsia"/>
          <w:lang w:val="en-US" w:eastAsia="zh-CN"/>
        </w:rPr>
        <w:t>10.1</w:t>
      </w:r>
      <w:r>
        <w:t>水资源管控</w:t>
      </w:r>
      <w:bookmarkEnd w:id="180"/>
    </w:p>
    <w:p w14:paraId="30238286">
      <w:pPr>
        <w:pStyle w:val="6"/>
      </w:pPr>
      <w:r>
        <w:rPr>
          <w:rFonts w:hint="eastAsia"/>
          <w:lang w:val="en-US" w:eastAsia="zh-CN"/>
        </w:rPr>
        <w:t>10.1.1</w:t>
      </w:r>
      <w:r>
        <w:rPr>
          <w:rFonts w:hint="eastAsia"/>
        </w:rPr>
        <w:t>水资源开发利用管控</w:t>
      </w:r>
    </w:p>
    <w:p w14:paraId="6604DCD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eastAsia="宋体"/>
          <w:sz w:val="28"/>
          <w:szCs w:val="28"/>
        </w:rPr>
      </w:pPr>
      <w:r>
        <w:rPr>
          <w:rFonts w:eastAsia="宋体"/>
          <w:sz w:val="28"/>
          <w:szCs w:val="28"/>
        </w:rPr>
        <w:t>完善最严格水资源管理制度，强化水资源刚性约束。严守水资源利用上线，深入推进水资源集约节约利用，理顺“取、供、用、排”水管理链条，全面建立水资源总量配置、用水计划管理、用途管制、效益评价的技术体系和制度体系，推进完善“水随人走、水随功能走”的水量动态调控机制，真正做到“以水定地、以水定产、以水定城、以水定人”的水资源科学配置成果。</w:t>
      </w:r>
    </w:p>
    <w:p w14:paraId="29FD5856">
      <w:pPr>
        <w:pStyle w:val="6"/>
      </w:pPr>
      <w:r>
        <w:rPr>
          <w:rFonts w:hint="eastAsia"/>
          <w:lang w:val="en-US" w:eastAsia="zh-CN"/>
        </w:rPr>
        <w:t>10.1.2</w:t>
      </w:r>
      <w:r>
        <w:rPr>
          <w:rFonts w:hint="eastAsia"/>
        </w:rPr>
        <w:t>水环境质量管控</w:t>
      </w:r>
    </w:p>
    <w:p w14:paraId="3BC149C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制定饮用水水源保护管理办法，建立全</w:t>
      </w:r>
      <w:r>
        <w:rPr>
          <w:rFonts w:hint="eastAsia" w:eastAsia="宋体" w:cs="Times New Roman"/>
          <w:sz w:val="28"/>
          <w:szCs w:val="28"/>
          <w:lang w:val="en-US" w:eastAsia="zh-CN"/>
        </w:rPr>
        <w:t>县</w:t>
      </w:r>
      <w:r>
        <w:rPr>
          <w:rFonts w:ascii="Times New Roman" w:hAnsi="Times New Roman" w:eastAsia="宋体" w:cs="Times New Roman"/>
          <w:sz w:val="28"/>
          <w:szCs w:val="28"/>
        </w:rPr>
        <w:t>集中式饮用水水源信息台账，加强取水量和水质等监测分析，推进村镇水源地规范化管理。</w:t>
      </w:r>
    </w:p>
    <w:p w14:paraId="0E4D8C01">
      <w:pPr>
        <w:pStyle w:val="5"/>
      </w:pPr>
      <w:bookmarkStart w:id="181" w:name="_Toc10641"/>
      <w:r>
        <w:rPr>
          <w:rFonts w:hint="eastAsia"/>
          <w:lang w:val="en-US" w:eastAsia="zh-CN"/>
        </w:rPr>
        <w:t>10.2</w:t>
      </w:r>
      <w:r>
        <w:t>涉水空间管控和保护</w:t>
      </w:r>
      <w:bookmarkEnd w:id="181"/>
    </w:p>
    <w:p w14:paraId="30D8EFE7">
      <w:pPr>
        <w:pStyle w:val="6"/>
      </w:pPr>
      <w:r>
        <w:rPr>
          <w:rFonts w:hint="eastAsia"/>
          <w:lang w:val="en-US" w:eastAsia="zh-CN"/>
        </w:rPr>
        <w:t>10.2.1</w:t>
      </w:r>
      <w:r>
        <w:rPr>
          <w:rFonts w:hint="eastAsia"/>
        </w:rPr>
        <w:t>涉水生态保护红线区管控</w:t>
      </w:r>
    </w:p>
    <w:p w14:paraId="734A18D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依据《关于划定并严守生态保护红线的若干意见》《生态保护红线管理办法（暂行）》和相关法律法规和文件要求。按照</w:t>
      </w:r>
      <w:r>
        <w:rPr>
          <w:rFonts w:hint="eastAsia" w:eastAsia="宋体" w:cs="Times New Roman"/>
          <w:sz w:val="28"/>
          <w:szCs w:val="28"/>
          <w:lang w:eastAsia="zh-CN"/>
        </w:rPr>
        <w:t>“</w:t>
      </w:r>
      <w:r>
        <w:rPr>
          <w:rFonts w:ascii="Times New Roman" w:hAnsi="Times New Roman" w:eastAsia="宋体" w:cs="Times New Roman"/>
          <w:sz w:val="28"/>
          <w:szCs w:val="28"/>
        </w:rPr>
        <w:t>生保护红线原则上按禁止开发区域的要求进行管理，严禁不符合主体功能定位的各类开发活动，严禁任意改变用途，确保生态功能不降低、面积不减少、性质不改变</w:t>
      </w:r>
      <w:r>
        <w:rPr>
          <w:rFonts w:hint="eastAsia" w:eastAsia="宋体" w:cs="Times New Roman"/>
          <w:sz w:val="28"/>
          <w:szCs w:val="28"/>
          <w:lang w:eastAsia="zh-CN"/>
        </w:rPr>
        <w:t>”</w:t>
      </w:r>
      <w:r>
        <w:rPr>
          <w:rFonts w:ascii="Times New Roman" w:hAnsi="Times New Roman" w:eastAsia="宋体" w:cs="Times New Roman"/>
          <w:sz w:val="28"/>
          <w:szCs w:val="28"/>
        </w:rPr>
        <w:t>的总体原则。</w:t>
      </w:r>
    </w:p>
    <w:p w14:paraId="3980A84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涉水生态红线区应允许实施保障防洪排水安全、保障水资源供给安全、保障水生态安全、提高水生态保护修复能力的水利基础设施。初步确定各类项目准入正面清单为：</w:t>
      </w:r>
    </w:p>
    <w:p w14:paraId="0CCD014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（1）河道、堤防、闸坝、岸线整治等活动，以及防洪设施建设、修缮和改造活动，及相关的地质勘查、地形测绘活动；</w:t>
      </w:r>
    </w:p>
    <w:p w14:paraId="59BF47A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（2）供水、排水设施建设、修缮和改造活动；</w:t>
      </w:r>
    </w:p>
    <w:p w14:paraId="42BA79B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（3）水生态生态保护修复和环境治理活动；</w:t>
      </w:r>
    </w:p>
    <w:p w14:paraId="1D49104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（4）水土流失预防与治理等水土保持活动；</w:t>
      </w:r>
    </w:p>
    <w:p w14:paraId="5200D1F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（5）水文测验、水生态环境保护监测活动</w:t>
      </w:r>
    </w:p>
    <w:p w14:paraId="7DC6598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（6）水利设施及生态空间管理活动；</w:t>
      </w:r>
    </w:p>
    <w:p w14:paraId="411DAE2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（7）符合法律法规规定的其他水利活动。</w:t>
      </w:r>
    </w:p>
    <w:p w14:paraId="2657AF19">
      <w:pPr>
        <w:pStyle w:val="6"/>
      </w:pPr>
      <w:r>
        <w:rPr>
          <w:rFonts w:hint="eastAsia"/>
          <w:lang w:val="en-US" w:eastAsia="zh-CN"/>
        </w:rPr>
        <w:t>10.2.2</w:t>
      </w:r>
      <w:r>
        <w:rPr>
          <w:rFonts w:hint="eastAsia"/>
        </w:rPr>
        <w:t>限制开发区管控</w:t>
      </w:r>
    </w:p>
    <w:p w14:paraId="6FEBF79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在建和规划重大引调水、防洪除涝、水生态治理保护等水利基础设施空间范围作为限制开发区进行管控，具体要求为：</w:t>
      </w:r>
    </w:p>
    <w:p w14:paraId="2100F09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（1）河道、水库、引调水等水利基础设施管控要求</w:t>
      </w:r>
    </w:p>
    <w:p w14:paraId="171CE49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在河湖管理范围内，禁止下列行为：</w:t>
      </w:r>
    </w:p>
    <w:p w14:paraId="66290D4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①</w:t>
      </w:r>
      <w:r>
        <w:rPr>
          <w:rFonts w:ascii="Times New Roman" w:hAnsi="Times New Roman" w:eastAsia="宋体" w:cs="Times New Roman"/>
          <w:sz w:val="28"/>
          <w:szCs w:val="28"/>
        </w:rPr>
        <w:t>在河道、渠道、湖泊、水库和其他水工程管理范围内采砂；</w:t>
      </w:r>
    </w:p>
    <w:p w14:paraId="7283B683">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②</w:t>
      </w:r>
      <w:r>
        <w:rPr>
          <w:rFonts w:ascii="Times New Roman" w:hAnsi="Times New Roman" w:eastAsia="宋体" w:cs="Times New Roman"/>
          <w:sz w:val="28"/>
          <w:szCs w:val="28"/>
        </w:rPr>
        <w:t>建设妨碍行洪的建筑物、构筑物；</w:t>
      </w:r>
    </w:p>
    <w:p w14:paraId="4C3CF94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③</w:t>
      </w:r>
      <w:r>
        <w:rPr>
          <w:rFonts w:ascii="Times New Roman" w:hAnsi="Times New Roman" w:eastAsia="宋体" w:cs="Times New Roman"/>
          <w:sz w:val="28"/>
          <w:szCs w:val="28"/>
        </w:rPr>
        <w:t>倾倒垃圾和渣土、堆放非防汛物资；</w:t>
      </w:r>
    </w:p>
    <w:p w14:paraId="4566A73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④</w:t>
      </w:r>
      <w:r>
        <w:rPr>
          <w:rFonts w:ascii="Times New Roman" w:hAnsi="Times New Roman" w:eastAsia="宋体" w:cs="Times New Roman"/>
          <w:sz w:val="28"/>
          <w:szCs w:val="28"/>
        </w:rPr>
        <w:t>在行洪河道内种植有碍行洪的林木和高杆作物；</w:t>
      </w:r>
    </w:p>
    <w:p w14:paraId="14E87FE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⑤</w:t>
      </w:r>
      <w:r>
        <w:rPr>
          <w:rFonts w:ascii="Times New Roman" w:hAnsi="Times New Roman" w:eastAsia="宋体" w:cs="Times New Roman"/>
          <w:sz w:val="28"/>
          <w:szCs w:val="28"/>
        </w:rPr>
        <w:t>损毁堤防、护岸、闸坝等水工程建筑物、构筑物及防汛、水工水文监测和测量、河岸地质监测、通讯、照明、滨河道路以及其他附属设备与设施，损毁护堤护岸林木；</w:t>
      </w:r>
    </w:p>
    <w:p w14:paraId="4700EAF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⑥</w:t>
      </w:r>
      <w:r>
        <w:rPr>
          <w:rFonts w:ascii="Times New Roman" w:hAnsi="Times New Roman" w:eastAsia="宋体" w:cs="Times New Roman"/>
          <w:sz w:val="28"/>
          <w:szCs w:val="28"/>
        </w:rPr>
        <w:t>在堤防和护堤地，从事放牧、葬坟、晒粮、开渠、打井、挖窖、取土、存放物料、开办集市贸易、开采地下资源、进行考古发掘等活动；</w:t>
      </w:r>
    </w:p>
    <w:p w14:paraId="5DF3248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⑦</w:t>
      </w:r>
      <w:r>
        <w:rPr>
          <w:rFonts w:ascii="Times New Roman" w:hAnsi="Times New Roman" w:eastAsia="宋体" w:cs="Times New Roman"/>
          <w:sz w:val="28"/>
          <w:szCs w:val="28"/>
        </w:rPr>
        <w:t>围堤或者修建阻水渠道、阻水道路；</w:t>
      </w:r>
    </w:p>
    <w:p w14:paraId="705F48C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⑧</w:t>
      </w:r>
      <w:r>
        <w:rPr>
          <w:rFonts w:ascii="Times New Roman" w:hAnsi="Times New Roman" w:eastAsia="宋体" w:cs="Times New Roman"/>
          <w:sz w:val="28"/>
          <w:szCs w:val="28"/>
        </w:rPr>
        <w:t>非管理人员开启、关闭河湖工程设备与设施；</w:t>
      </w:r>
    </w:p>
    <w:p w14:paraId="3554F167">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⑨</w:t>
      </w:r>
      <w:r>
        <w:rPr>
          <w:rFonts w:ascii="Times New Roman" w:hAnsi="Times New Roman" w:eastAsia="宋体" w:cs="Times New Roman"/>
          <w:sz w:val="28"/>
          <w:szCs w:val="28"/>
        </w:rPr>
        <w:t>行驶履带车辆、超过限载标准的车辆；</w:t>
      </w:r>
    </w:p>
    <w:p w14:paraId="732842F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⑩</w:t>
      </w:r>
      <w:r>
        <w:rPr>
          <w:rFonts w:ascii="Times New Roman" w:hAnsi="Times New Roman" w:eastAsia="宋体" w:cs="Times New Roman"/>
          <w:sz w:val="28"/>
          <w:szCs w:val="28"/>
        </w:rPr>
        <w:t>其他影响河势稳定、危害水工程河岸堤防安全和妨碍河道行洪的行为。</w:t>
      </w:r>
    </w:p>
    <w:p w14:paraId="4303462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在河湖管理范围、保护范围内进行下列活动的，必须报经有管辖权的水行政主管部门批准；涉及其他部门的，按照有关规定执行：</w:t>
      </w:r>
    </w:p>
    <w:p w14:paraId="5D9A474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①</w:t>
      </w:r>
      <w:r>
        <w:rPr>
          <w:rFonts w:ascii="Times New Roman" w:hAnsi="Times New Roman" w:eastAsia="宋体" w:cs="Times New Roman"/>
          <w:sz w:val="28"/>
          <w:szCs w:val="28"/>
        </w:rPr>
        <w:t>填湖、填河造地、明河改暗河；</w:t>
      </w:r>
    </w:p>
    <w:p w14:paraId="03794C5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②</w:t>
      </w:r>
      <w:r>
        <w:rPr>
          <w:rFonts w:ascii="Times New Roman" w:hAnsi="Times New Roman" w:eastAsia="宋体" w:cs="Times New Roman"/>
          <w:sz w:val="28"/>
          <w:szCs w:val="28"/>
        </w:rPr>
        <w:t>围河、挖筑鱼塘、挖坑开槽、勘探，或者设立线杆、线塔、无线通信塔、标识；</w:t>
      </w:r>
    </w:p>
    <w:p w14:paraId="35BBAA7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③</w:t>
      </w:r>
      <w:r>
        <w:rPr>
          <w:rFonts w:ascii="Times New Roman" w:hAnsi="Times New Roman" w:eastAsia="宋体" w:cs="Times New Roman"/>
          <w:sz w:val="28"/>
          <w:szCs w:val="28"/>
        </w:rPr>
        <w:t>设置固定停车场所；</w:t>
      </w:r>
    </w:p>
    <w:p w14:paraId="455824C9">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④</w:t>
      </w:r>
      <w:r>
        <w:rPr>
          <w:rFonts w:ascii="Times New Roman" w:hAnsi="Times New Roman" w:eastAsia="宋体" w:cs="Times New Roman"/>
          <w:sz w:val="28"/>
          <w:szCs w:val="28"/>
        </w:rPr>
        <w:t>修路，或者修建园林小品、管理房及其附属设施，或者建设临时性建筑物、构筑物；</w:t>
      </w:r>
    </w:p>
    <w:p w14:paraId="652D82E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⑤</w:t>
      </w:r>
      <w:r>
        <w:rPr>
          <w:rFonts w:ascii="Times New Roman" w:hAnsi="Times New Roman" w:eastAsia="宋体" w:cs="Times New Roman"/>
          <w:sz w:val="28"/>
          <w:szCs w:val="28"/>
        </w:rPr>
        <w:t>爆破、打井、挖窖、挖取沙土、堆放物料；</w:t>
      </w:r>
    </w:p>
    <w:p w14:paraId="3811248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⑥</w:t>
      </w:r>
      <w:r>
        <w:rPr>
          <w:rFonts w:ascii="Times New Roman" w:hAnsi="Times New Roman" w:eastAsia="宋体" w:cs="Times New Roman"/>
          <w:sz w:val="28"/>
          <w:szCs w:val="28"/>
        </w:rPr>
        <w:t>开采地下资源、进行考古发掘。</w:t>
      </w:r>
    </w:p>
    <w:p w14:paraId="35F04CAA">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⑦</w:t>
      </w:r>
      <w:r>
        <w:rPr>
          <w:rFonts w:ascii="Times New Roman" w:hAnsi="Times New Roman" w:eastAsia="宋体" w:cs="Times New Roman"/>
          <w:sz w:val="28"/>
          <w:szCs w:val="28"/>
        </w:rPr>
        <w:t>在堤防和护堤地以外的河道、湖泊和其他水工程管理范围内，在不影响河势稳定或者防洪安全的情况下，经过批准可以取土、开采地下资源、进行考古发掘等活动。</w:t>
      </w:r>
    </w:p>
    <w:p w14:paraId="0BDEB59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⑧</w:t>
      </w:r>
      <w:r>
        <w:rPr>
          <w:rFonts w:ascii="Times New Roman" w:hAnsi="Times New Roman" w:eastAsia="宋体" w:cs="Times New Roman"/>
          <w:sz w:val="28"/>
          <w:szCs w:val="28"/>
        </w:rPr>
        <w:t>河道改线、开挖人工湖泊，必须报经有管辖权的水行政主管部门批准。</w:t>
      </w:r>
    </w:p>
    <w:p w14:paraId="24C9D87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（2）水土流失预防保护要求</w:t>
      </w:r>
    </w:p>
    <w:p w14:paraId="2B1533D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①</w:t>
      </w:r>
      <w:r>
        <w:rPr>
          <w:rFonts w:ascii="Times New Roman" w:hAnsi="Times New Roman" w:eastAsia="宋体" w:cs="Times New Roman"/>
          <w:sz w:val="28"/>
          <w:szCs w:val="28"/>
        </w:rPr>
        <w:t>禁止在25度以上陡坡地开垦、放牧和种植农作物；</w:t>
      </w:r>
    </w:p>
    <w:p w14:paraId="0276D4B6">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②</w:t>
      </w:r>
      <w:r>
        <w:rPr>
          <w:rFonts w:ascii="Times New Roman" w:hAnsi="Times New Roman" w:eastAsia="宋体" w:cs="Times New Roman"/>
          <w:sz w:val="28"/>
          <w:szCs w:val="28"/>
        </w:rPr>
        <w:t>在5度以上25度以下，加大生态修复</w:t>
      </w:r>
      <w:r>
        <w:rPr>
          <w:rFonts w:hint="eastAsia" w:eastAsia="宋体" w:cs="Times New Roman"/>
          <w:sz w:val="28"/>
          <w:szCs w:val="28"/>
          <w:lang w:eastAsia="zh-CN"/>
        </w:rPr>
        <w:t>，</w:t>
      </w:r>
      <w:r>
        <w:rPr>
          <w:rFonts w:hint="eastAsia" w:eastAsia="宋体" w:cs="Times New Roman"/>
          <w:sz w:val="28"/>
          <w:szCs w:val="28"/>
          <w:lang w:val="en-US" w:eastAsia="zh-CN"/>
        </w:rPr>
        <w:t>逐</w:t>
      </w:r>
      <w:r>
        <w:rPr>
          <w:rFonts w:ascii="Times New Roman" w:hAnsi="Times New Roman" w:eastAsia="宋体" w:cs="Times New Roman"/>
          <w:sz w:val="28"/>
          <w:szCs w:val="28"/>
        </w:rPr>
        <w:t>步实行坡改格减少人为干找，控制化肥和农药施用，防止造成水土流失及面源污染；</w:t>
      </w:r>
    </w:p>
    <w:p w14:paraId="2F39342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③</w:t>
      </w:r>
      <w:r>
        <w:rPr>
          <w:rFonts w:ascii="Times New Roman" w:hAnsi="Times New Roman" w:eastAsia="宋体" w:cs="Times New Roman"/>
          <w:sz w:val="28"/>
          <w:szCs w:val="28"/>
        </w:rPr>
        <w:t>对滑坡危险区、泥石流易发区、蓄洪区及重要自然文化景观、重要水域及重要生态林地等纳入城多规划确定的禁建区和限建区的对象，应加强监管，采取限制或禁止措施；</w:t>
      </w:r>
    </w:p>
    <w:p w14:paraId="15D2680E">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④</w:t>
      </w:r>
      <w:r>
        <w:rPr>
          <w:rFonts w:ascii="Times New Roman" w:hAnsi="Times New Roman" w:eastAsia="宋体" w:cs="Times New Roman"/>
          <w:sz w:val="28"/>
          <w:szCs w:val="28"/>
        </w:rPr>
        <w:t>在水源保护区和地下水严重超采区内退出高耗水作物种植，采用宜林则林、宜草则草、宜果则果等方式提升水源涵养功能；</w:t>
      </w:r>
    </w:p>
    <w:p w14:paraId="1190BCA5">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⑤</w:t>
      </w:r>
      <w:r>
        <w:rPr>
          <w:rFonts w:ascii="Times New Roman" w:hAnsi="Times New Roman" w:eastAsia="宋体" w:cs="Times New Roman"/>
          <w:sz w:val="28"/>
          <w:szCs w:val="28"/>
        </w:rPr>
        <w:t>加强基础设施建设、矿山资源开发等活动预防监管措施，严格执行表土和渣土分类堆放管理制度，实行循环再利用；</w:t>
      </w:r>
    </w:p>
    <w:p w14:paraId="247F028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⑥</w:t>
      </w:r>
      <w:r>
        <w:rPr>
          <w:rFonts w:ascii="Times New Roman" w:hAnsi="Times New Roman" w:eastAsia="宋体" w:cs="Times New Roman"/>
          <w:sz w:val="28"/>
          <w:szCs w:val="28"/>
        </w:rPr>
        <w:t>在农村地区，减少砍伐林木，破坏地表植被，推广使用太阳能、风能、沼气及生物质燃料等新能源；</w:t>
      </w:r>
    </w:p>
    <w:p w14:paraId="5A092B2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⑦</w:t>
      </w:r>
      <w:r>
        <w:rPr>
          <w:rFonts w:ascii="Times New Roman" w:hAnsi="Times New Roman" w:eastAsia="宋体" w:cs="Times New Roman"/>
          <w:sz w:val="28"/>
          <w:szCs w:val="28"/>
        </w:rPr>
        <w:t>做好河流湿地生态修复与保护，加强河道防洪空间拓展，做好洪水控制和雨水综合利用，提高水体联通功能，恢复和保持河湖良好水生态环境；</w:t>
      </w:r>
    </w:p>
    <w:p w14:paraId="7C6B993F">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ascii="Times New Roman" w:hAnsi="Times New Roman" w:eastAsia="宋体" w:cs="Times New Roman"/>
          <w:sz w:val="28"/>
          <w:szCs w:val="28"/>
        </w:rPr>
        <w:t>⑧</w:t>
      </w:r>
      <w:r>
        <w:rPr>
          <w:rFonts w:ascii="Times New Roman" w:hAnsi="Times New Roman" w:eastAsia="宋体" w:cs="Times New Roman"/>
          <w:sz w:val="28"/>
          <w:szCs w:val="28"/>
        </w:rPr>
        <w:t>加强河道、沟道生态监测和重要区域的水土流失监测与评价；在全面实行河长制的基础上，明确沟道的管护责任主体，预防在沟道内乱堆、乱建、乱挖、乱弃。</w:t>
      </w:r>
    </w:p>
    <w:p w14:paraId="36B146A3">
      <w:pPr>
        <w:pStyle w:val="5"/>
      </w:pPr>
      <w:bookmarkStart w:id="182" w:name="_Toc21227"/>
      <w:r>
        <w:rPr>
          <w:rFonts w:hint="eastAsia"/>
          <w:lang w:val="en-US" w:eastAsia="zh-CN"/>
        </w:rPr>
        <w:t>10.3</w:t>
      </w:r>
      <w:r>
        <w:t>水利基础设施用地空间管控</w:t>
      </w:r>
      <w:bookmarkEnd w:id="182"/>
    </w:p>
    <w:p w14:paraId="6D113DDA">
      <w:pPr>
        <w:pStyle w:val="6"/>
      </w:pPr>
      <w:r>
        <w:rPr>
          <w:rFonts w:hint="eastAsia"/>
          <w:lang w:val="en-US" w:eastAsia="zh-CN"/>
        </w:rPr>
        <w:t>10.3.1</w:t>
      </w:r>
      <w:r>
        <w:rPr>
          <w:rFonts w:hint="eastAsia"/>
        </w:rPr>
        <w:t>已建在建水利基础设施空间管控</w:t>
      </w:r>
    </w:p>
    <w:p w14:paraId="41F3A23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已建在建水利基础设施设施空间管控要求与管理保护范围应不低于河湖，其管控与管理保护范围应根据水利基础设施设施的功能要求，参照相关规范制定。</w:t>
      </w:r>
    </w:p>
    <w:p w14:paraId="7204DC0A">
      <w:pPr>
        <w:pStyle w:val="6"/>
      </w:pPr>
      <w:r>
        <w:rPr>
          <w:rFonts w:hint="eastAsia"/>
          <w:lang w:val="en-US" w:eastAsia="zh-CN"/>
        </w:rPr>
        <w:t>10.3.2</w:t>
      </w:r>
      <w:r>
        <w:rPr>
          <w:rFonts w:hint="eastAsia"/>
        </w:rPr>
        <w:t>规划水利基础设施预留空间管控</w:t>
      </w:r>
    </w:p>
    <w:p w14:paraId="633365E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规划水利基础设施用地，需在具体项目规划批复后，与</w:t>
      </w:r>
      <w:r>
        <w:rPr>
          <w:rFonts w:hint="eastAsia" w:eastAsia="宋体" w:cs="Times New Roman"/>
          <w:sz w:val="28"/>
          <w:szCs w:val="28"/>
          <w:lang w:val="en-US" w:eastAsia="zh-CN"/>
        </w:rPr>
        <w:t>县</w:t>
      </w:r>
      <w:r>
        <w:rPr>
          <w:rFonts w:ascii="Times New Roman" w:hAnsi="Times New Roman" w:eastAsia="宋体" w:cs="Times New Roman"/>
          <w:sz w:val="28"/>
          <w:szCs w:val="28"/>
        </w:rPr>
        <w:t>自然资源</w:t>
      </w:r>
      <w:r>
        <w:rPr>
          <w:rFonts w:hint="eastAsia" w:ascii="Times New Roman" w:hAnsi="Times New Roman" w:eastAsia="宋体" w:cs="Times New Roman"/>
          <w:sz w:val="28"/>
          <w:szCs w:val="28"/>
          <w:lang w:eastAsia="zh-CN"/>
        </w:rPr>
        <w:t>局</w:t>
      </w:r>
      <w:r>
        <w:rPr>
          <w:rFonts w:ascii="Times New Roman" w:hAnsi="Times New Roman" w:eastAsia="宋体" w:cs="Times New Roman"/>
          <w:sz w:val="28"/>
          <w:szCs w:val="28"/>
        </w:rPr>
        <w:t>、</w:t>
      </w:r>
      <w:r>
        <w:rPr>
          <w:rFonts w:hint="eastAsia" w:eastAsia="宋体" w:cs="Times New Roman"/>
          <w:sz w:val="28"/>
          <w:szCs w:val="28"/>
          <w:lang w:val="en-US" w:eastAsia="zh-CN"/>
        </w:rPr>
        <w:t>县</w:t>
      </w:r>
      <w:r>
        <w:rPr>
          <w:rFonts w:hint="eastAsia" w:ascii="Times New Roman" w:hAnsi="Times New Roman" w:eastAsia="宋体" w:cs="Times New Roman"/>
          <w:sz w:val="28"/>
          <w:szCs w:val="28"/>
          <w:lang w:eastAsia="zh-CN"/>
        </w:rPr>
        <w:t>生态环境</w:t>
      </w:r>
      <w:r>
        <w:rPr>
          <w:rFonts w:hint="eastAsia" w:eastAsia="宋体" w:cs="Times New Roman"/>
          <w:sz w:val="28"/>
          <w:szCs w:val="28"/>
          <w:lang w:val="en-US" w:eastAsia="zh-CN"/>
        </w:rPr>
        <w:t>分</w:t>
      </w:r>
      <w:r>
        <w:rPr>
          <w:rFonts w:hint="eastAsia" w:ascii="Times New Roman" w:hAnsi="Times New Roman" w:eastAsia="宋体" w:cs="Times New Roman"/>
          <w:sz w:val="28"/>
          <w:szCs w:val="28"/>
          <w:lang w:eastAsia="zh-CN"/>
        </w:rPr>
        <w:t>局</w:t>
      </w:r>
      <w:r>
        <w:rPr>
          <w:rFonts w:ascii="Times New Roman" w:hAnsi="Times New Roman" w:eastAsia="宋体" w:cs="Times New Roman"/>
          <w:sz w:val="28"/>
          <w:szCs w:val="28"/>
        </w:rPr>
        <w:t>等部门进行沟通协调，争取在分区规划修编中调整预留。其空间保护的管控待实施后落实。</w:t>
      </w:r>
    </w:p>
    <w:p w14:paraId="00752863">
      <w:pPr>
        <w:pStyle w:val="5"/>
      </w:pPr>
      <w:bookmarkStart w:id="183" w:name="_Toc22762"/>
      <w:r>
        <w:rPr>
          <w:rFonts w:hint="eastAsia"/>
          <w:lang w:val="en-US" w:eastAsia="zh-CN"/>
        </w:rPr>
        <w:t>10.4</w:t>
      </w:r>
      <w:r>
        <w:t>涉水空间监控监测体系建设</w:t>
      </w:r>
      <w:bookmarkEnd w:id="183"/>
    </w:p>
    <w:p w14:paraId="3988DB5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涉水空间按照管理权限，分级监控、检测管理。建设水务规划管理平台，结合</w:t>
      </w:r>
      <w:r>
        <w:rPr>
          <w:rFonts w:hint="eastAsia" w:eastAsia="宋体" w:cs="Times New Roman"/>
          <w:sz w:val="28"/>
          <w:szCs w:val="28"/>
          <w:lang w:eastAsia="zh-CN"/>
        </w:rPr>
        <w:t>“</w:t>
      </w:r>
      <w:r>
        <w:rPr>
          <w:rFonts w:ascii="Times New Roman" w:hAnsi="Times New Roman" w:eastAsia="宋体" w:cs="Times New Roman"/>
          <w:sz w:val="28"/>
          <w:szCs w:val="28"/>
        </w:rPr>
        <w:t>水利一张图</w:t>
      </w:r>
      <w:r>
        <w:rPr>
          <w:rFonts w:hint="eastAsia" w:eastAsia="宋体" w:cs="Times New Roman"/>
          <w:sz w:val="28"/>
          <w:szCs w:val="28"/>
          <w:lang w:eastAsia="zh-CN"/>
        </w:rPr>
        <w:t>”</w:t>
      </w:r>
      <w:r>
        <w:rPr>
          <w:rFonts w:ascii="Times New Roman" w:hAnsi="Times New Roman" w:eastAsia="宋体" w:cs="Times New Roman"/>
          <w:sz w:val="28"/>
          <w:szCs w:val="28"/>
        </w:rPr>
        <w:t>，</w:t>
      </w:r>
      <w:r>
        <w:rPr>
          <w:rFonts w:hint="eastAsia" w:eastAsia="宋体" w:cs="Times New Roman"/>
          <w:sz w:val="28"/>
          <w:szCs w:val="28"/>
          <w:lang w:val="en-US" w:eastAsia="zh-CN"/>
        </w:rPr>
        <w:t>县</w:t>
      </w:r>
      <w:r>
        <w:rPr>
          <w:rFonts w:hint="eastAsia" w:ascii="Times New Roman" w:hAnsi="Times New Roman" w:eastAsia="宋体" w:cs="Times New Roman"/>
          <w:sz w:val="28"/>
          <w:szCs w:val="28"/>
          <w:lang w:eastAsia="zh-CN"/>
        </w:rPr>
        <w:t>水务局</w:t>
      </w:r>
      <w:r>
        <w:rPr>
          <w:rFonts w:ascii="Times New Roman" w:hAnsi="Times New Roman" w:eastAsia="宋体" w:cs="Times New Roman"/>
          <w:sz w:val="28"/>
          <w:szCs w:val="28"/>
        </w:rPr>
        <w:t>规划</w:t>
      </w:r>
      <w:r>
        <w:rPr>
          <w:rFonts w:hint="eastAsia" w:eastAsia="宋体" w:cs="Times New Roman"/>
          <w:sz w:val="28"/>
          <w:szCs w:val="28"/>
          <w:lang w:val="en-US" w:eastAsia="zh-CN"/>
        </w:rPr>
        <w:t>股</w:t>
      </w:r>
      <w:r>
        <w:rPr>
          <w:rFonts w:ascii="Times New Roman" w:hAnsi="Times New Roman" w:eastAsia="宋体" w:cs="Times New Roman"/>
          <w:sz w:val="28"/>
          <w:szCs w:val="28"/>
        </w:rPr>
        <w:t>负责审查建设项目立项与水务规划的符合性。管理运行部门负责在建、已建项目的管理控制。水务局及河长制办公室负责水空间的巡视、维护、报告违法。</w:t>
      </w:r>
    </w:p>
    <w:p w14:paraId="6BCAC809">
      <w:pPr>
        <w:pStyle w:val="5"/>
      </w:pPr>
      <w:bookmarkStart w:id="184" w:name="_Toc9468"/>
      <w:r>
        <w:rPr>
          <w:rFonts w:hint="eastAsia"/>
          <w:lang w:val="en-US" w:eastAsia="zh-CN"/>
        </w:rPr>
        <w:t>10.5</w:t>
      </w:r>
      <w:r>
        <w:t>涉水空间管控制度建设</w:t>
      </w:r>
      <w:bookmarkEnd w:id="184"/>
    </w:p>
    <w:p w14:paraId="665C629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水空间规划是受总体规划、分区规划指导的专业规划，水空间规划应与上位规划形成互动，及时反馈水空间的需求，为科学制定上位规划提供基础支撑。建立与上位规划衔接的</w:t>
      </w:r>
      <w:r>
        <w:rPr>
          <w:rFonts w:hint="eastAsia" w:ascii="Times New Roman" w:hAnsi="Times New Roman" w:eastAsia="宋体" w:cs="Times New Roman"/>
          <w:sz w:val="28"/>
          <w:szCs w:val="28"/>
        </w:rPr>
        <w:t>“</w:t>
      </w:r>
      <w:r>
        <w:rPr>
          <w:rFonts w:ascii="Times New Roman" w:hAnsi="Times New Roman" w:eastAsia="宋体" w:cs="Times New Roman"/>
          <w:sz w:val="28"/>
          <w:szCs w:val="28"/>
        </w:rPr>
        <w:t>一年一体检，五年一评估</w:t>
      </w:r>
      <w:r>
        <w:rPr>
          <w:rFonts w:hint="eastAsia" w:ascii="Times New Roman" w:hAnsi="Times New Roman" w:eastAsia="宋体" w:cs="Times New Roman"/>
          <w:sz w:val="28"/>
          <w:szCs w:val="28"/>
        </w:rPr>
        <w:t>”“</w:t>
      </w:r>
      <w:r>
        <w:rPr>
          <w:rFonts w:ascii="Times New Roman" w:hAnsi="Times New Roman" w:eastAsia="宋体" w:cs="Times New Roman"/>
          <w:sz w:val="28"/>
          <w:szCs w:val="28"/>
        </w:rPr>
        <w:t>专家及公众参与</w:t>
      </w:r>
      <w:r>
        <w:rPr>
          <w:rFonts w:hint="eastAsia" w:ascii="Times New Roman" w:hAnsi="Times New Roman" w:eastAsia="宋体" w:cs="Times New Roman"/>
          <w:sz w:val="28"/>
          <w:szCs w:val="28"/>
        </w:rPr>
        <w:t>”“</w:t>
      </w:r>
      <w:r>
        <w:rPr>
          <w:rFonts w:ascii="Times New Roman" w:hAnsi="Times New Roman" w:eastAsia="宋体" w:cs="Times New Roman"/>
          <w:sz w:val="28"/>
          <w:szCs w:val="28"/>
        </w:rPr>
        <w:t>规划实施监督考核问责</w:t>
      </w:r>
      <w:r>
        <w:rPr>
          <w:rFonts w:hint="eastAsia" w:ascii="Times New Roman" w:hAnsi="Times New Roman" w:eastAsia="宋体" w:cs="Times New Roman"/>
          <w:sz w:val="28"/>
          <w:szCs w:val="28"/>
        </w:rPr>
        <w:t>”</w:t>
      </w:r>
      <w:r>
        <w:rPr>
          <w:rFonts w:ascii="Times New Roman" w:hAnsi="Times New Roman" w:eastAsia="宋体" w:cs="Times New Roman"/>
          <w:sz w:val="28"/>
          <w:szCs w:val="28"/>
        </w:rPr>
        <w:t>机制。</w:t>
      </w:r>
    </w:p>
    <w:p w14:paraId="1EB38E72">
      <w:pPr>
        <w:spacing w:line="360" w:lineRule="auto"/>
        <w:ind w:firstLine="560"/>
        <w:rPr>
          <w:rFonts w:eastAsia="宋体"/>
          <w:sz w:val="28"/>
          <w:szCs w:val="28"/>
        </w:rPr>
      </w:pPr>
    </w:p>
    <w:p w14:paraId="73DB2440">
      <w:pPr>
        <w:widowControl/>
        <w:ind w:firstLine="560"/>
        <w:jc w:val="left"/>
        <w:rPr>
          <w:rFonts w:eastAsia="宋体"/>
          <w:sz w:val="28"/>
          <w:szCs w:val="28"/>
        </w:rPr>
      </w:pPr>
      <w:r>
        <w:rPr>
          <w:rFonts w:eastAsia="宋体"/>
          <w:sz w:val="28"/>
          <w:szCs w:val="28"/>
        </w:rPr>
        <w:br w:type="page"/>
      </w:r>
    </w:p>
    <w:p w14:paraId="6796B932">
      <w:pPr>
        <w:pStyle w:val="4"/>
      </w:pPr>
      <w:bookmarkStart w:id="185" w:name="_Toc14858"/>
      <w:r>
        <w:rPr>
          <w:rFonts w:hint="eastAsia"/>
          <w:lang w:val="en-US" w:eastAsia="zh-CN"/>
        </w:rPr>
        <w:t>11</w:t>
      </w:r>
      <w:r>
        <w:t>保障措施</w:t>
      </w:r>
      <w:bookmarkEnd w:id="185"/>
    </w:p>
    <w:p w14:paraId="1E58BEAE">
      <w:pPr>
        <w:pStyle w:val="5"/>
      </w:pPr>
      <w:bookmarkStart w:id="186" w:name="_Toc5310"/>
      <w:r>
        <w:rPr>
          <w:rFonts w:hint="eastAsia"/>
          <w:lang w:val="en-US" w:eastAsia="zh-CN"/>
        </w:rPr>
        <w:t>11.1</w:t>
      </w:r>
      <w:r>
        <w:t>强化组织保障</w:t>
      </w:r>
      <w:bookmarkEnd w:id="186"/>
    </w:p>
    <w:p w14:paraId="5D4B784C">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坚持以习近平新时代中国特色社会主义思想为指导，坚决贯彻习近平总书记</w:t>
      </w:r>
      <w:r>
        <w:rPr>
          <w:rFonts w:hint="eastAsia" w:eastAsia="宋体" w:cs="Times New Roman"/>
          <w:sz w:val="28"/>
          <w:szCs w:val="28"/>
          <w:lang w:eastAsia="zh-CN"/>
        </w:rPr>
        <w:t>“</w:t>
      </w:r>
      <w:r>
        <w:rPr>
          <w:rFonts w:ascii="Times New Roman" w:hAnsi="Times New Roman" w:eastAsia="宋体" w:cs="Times New Roman"/>
          <w:sz w:val="28"/>
          <w:szCs w:val="28"/>
        </w:rPr>
        <w:t>三篇光辉文献</w:t>
      </w:r>
      <w:r>
        <w:rPr>
          <w:rFonts w:hint="eastAsia" w:eastAsia="宋体" w:cs="Times New Roman"/>
          <w:sz w:val="28"/>
          <w:szCs w:val="28"/>
          <w:lang w:eastAsia="zh-CN"/>
        </w:rPr>
        <w:t>”</w:t>
      </w:r>
      <w:r>
        <w:rPr>
          <w:rFonts w:ascii="Times New Roman" w:hAnsi="Times New Roman" w:eastAsia="宋体" w:cs="Times New Roman"/>
          <w:sz w:val="28"/>
          <w:szCs w:val="28"/>
        </w:rPr>
        <w:t>和视察山西重要讲话重要指示精神，增强</w:t>
      </w:r>
      <w:r>
        <w:rPr>
          <w:rFonts w:hint="eastAsia" w:eastAsia="宋体" w:cs="Times New Roman"/>
          <w:sz w:val="28"/>
          <w:szCs w:val="28"/>
          <w:lang w:eastAsia="zh-CN"/>
        </w:rPr>
        <w:t>“</w:t>
      </w:r>
      <w:r>
        <w:rPr>
          <w:rFonts w:ascii="Times New Roman" w:hAnsi="Times New Roman" w:eastAsia="宋体" w:cs="Times New Roman"/>
          <w:sz w:val="28"/>
          <w:szCs w:val="28"/>
        </w:rPr>
        <w:t>四个意识</w:t>
      </w:r>
      <w:r>
        <w:rPr>
          <w:rFonts w:hint="eastAsia" w:eastAsia="宋体" w:cs="Times New Roman"/>
          <w:sz w:val="28"/>
          <w:szCs w:val="28"/>
          <w:lang w:eastAsia="zh-CN"/>
        </w:rPr>
        <w:t>”、</w:t>
      </w:r>
      <w:r>
        <w:rPr>
          <w:rFonts w:ascii="Times New Roman" w:hAnsi="Times New Roman" w:eastAsia="宋体" w:cs="Times New Roman"/>
          <w:sz w:val="28"/>
          <w:szCs w:val="28"/>
        </w:rPr>
        <w:t>坚定</w:t>
      </w:r>
      <w:r>
        <w:rPr>
          <w:rFonts w:hint="eastAsia" w:eastAsia="宋体" w:cs="Times New Roman"/>
          <w:sz w:val="28"/>
          <w:szCs w:val="28"/>
          <w:lang w:eastAsia="zh-CN"/>
        </w:rPr>
        <w:t>“</w:t>
      </w:r>
      <w:r>
        <w:rPr>
          <w:rFonts w:ascii="Times New Roman" w:hAnsi="Times New Roman" w:eastAsia="宋体" w:cs="Times New Roman"/>
          <w:sz w:val="28"/>
          <w:szCs w:val="28"/>
        </w:rPr>
        <w:t>四个自信</w:t>
      </w:r>
      <w:r>
        <w:rPr>
          <w:rFonts w:hint="eastAsia" w:eastAsia="宋体" w:cs="Times New Roman"/>
          <w:sz w:val="28"/>
          <w:szCs w:val="28"/>
          <w:lang w:eastAsia="zh-CN"/>
        </w:rPr>
        <w:t>”、</w:t>
      </w:r>
      <w:r>
        <w:rPr>
          <w:rFonts w:ascii="Times New Roman" w:hAnsi="Times New Roman" w:eastAsia="宋体" w:cs="Times New Roman"/>
          <w:sz w:val="28"/>
          <w:szCs w:val="28"/>
        </w:rPr>
        <w:t>做到</w:t>
      </w:r>
      <w:r>
        <w:rPr>
          <w:rFonts w:hint="eastAsia" w:eastAsia="宋体" w:cs="Times New Roman"/>
          <w:sz w:val="28"/>
          <w:szCs w:val="28"/>
          <w:lang w:eastAsia="zh-CN"/>
        </w:rPr>
        <w:t>“</w:t>
      </w:r>
      <w:r>
        <w:rPr>
          <w:rFonts w:ascii="Times New Roman" w:hAnsi="Times New Roman" w:eastAsia="宋体" w:cs="Times New Roman"/>
          <w:sz w:val="28"/>
          <w:szCs w:val="28"/>
        </w:rPr>
        <w:t>两个维护</w:t>
      </w:r>
      <w:r>
        <w:rPr>
          <w:rFonts w:hint="eastAsia" w:eastAsia="宋体" w:cs="Times New Roman"/>
          <w:sz w:val="28"/>
          <w:szCs w:val="28"/>
          <w:lang w:eastAsia="zh-CN"/>
        </w:rPr>
        <w:t>”</w:t>
      </w:r>
      <w:r>
        <w:rPr>
          <w:rFonts w:ascii="Times New Roman" w:hAnsi="Times New Roman" w:eastAsia="宋体" w:cs="Times New Roman"/>
          <w:sz w:val="28"/>
          <w:szCs w:val="28"/>
        </w:rPr>
        <w:t>，全面贯彻党的十九大和十九届二中、三中、四中全会</w:t>
      </w:r>
      <w:r>
        <w:rPr>
          <w:rFonts w:hint="eastAsia" w:ascii="Times New Roman" w:hAnsi="Times New Roman" w:eastAsia="宋体" w:cs="Times New Roman"/>
          <w:sz w:val="28"/>
          <w:szCs w:val="28"/>
          <w:lang w:eastAsia="zh-CN"/>
        </w:rPr>
        <w:t>和晋城市第八次党代会</w:t>
      </w:r>
      <w:r>
        <w:rPr>
          <w:rFonts w:ascii="Times New Roman" w:hAnsi="Times New Roman" w:eastAsia="宋体" w:cs="Times New Roman"/>
          <w:sz w:val="28"/>
          <w:szCs w:val="28"/>
        </w:rPr>
        <w:t>精神，以党的政治建设为统领，坚持党对水利改革发展的全面领导，全面调动各级水利干部干事创业的积极性、主动性、创造性，推动工作不断取得新成效，实现规划目标任务。加强组织领导、统筹协调相关工作，研究审议重大规划及项目、协调解决规划实施中的有关重大问题，积极对接有关部门，形成强大工作合力。做好规划逐级分解落实，明确工作分工，完善工作机制，落实工作责任，抓好督促落实。结合本地实际，组织编制水安全保障规划，把</w:t>
      </w:r>
      <w:r>
        <w:rPr>
          <w:rFonts w:hint="eastAsia" w:eastAsia="宋体" w:cs="Times New Roman"/>
          <w:sz w:val="28"/>
          <w:szCs w:val="28"/>
          <w:lang w:val="en-US" w:eastAsia="zh-CN"/>
        </w:rPr>
        <w:t>县</w:t>
      </w:r>
      <w:r>
        <w:rPr>
          <w:rFonts w:ascii="Times New Roman" w:hAnsi="Times New Roman" w:eastAsia="宋体" w:cs="Times New Roman"/>
          <w:sz w:val="28"/>
          <w:szCs w:val="28"/>
        </w:rPr>
        <w:t>级规划确定的主要目标、重点任务，层次分解，细化落实，确保规划落地生效。</w:t>
      </w:r>
    </w:p>
    <w:p w14:paraId="0789F222">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hint="eastAsia" w:eastAsia="宋体" w:cs="Times New Roman"/>
          <w:sz w:val="28"/>
          <w:szCs w:val="28"/>
          <w:lang w:val="en-US" w:eastAsia="zh-CN"/>
        </w:rPr>
        <w:t>泽州县</w:t>
      </w:r>
      <w:r>
        <w:rPr>
          <w:rFonts w:hint="eastAsia" w:ascii="Times New Roman" w:hAnsi="Times New Roman" w:eastAsia="宋体" w:cs="Times New Roman"/>
          <w:sz w:val="28"/>
          <w:szCs w:val="28"/>
          <w:lang w:eastAsia="zh-CN"/>
        </w:rPr>
        <w:t>水务局</w:t>
      </w:r>
      <w:r>
        <w:rPr>
          <w:rFonts w:ascii="Times New Roman" w:hAnsi="Times New Roman" w:eastAsia="宋体" w:cs="Times New Roman"/>
          <w:sz w:val="28"/>
          <w:szCs w:val="28"/>
        </w:rPr>
        <w:t>是</w:t>
      </w:r>
      <w:r>
        <w:rPr>
          <w:rFonts w:hint="eastAsia" w:eastAsia="宋体" w:cs="Times New Roman"/>
          <w:sz w:val="28"/>
          <w:szCs w:val="28"/>
          <w:lang w:val="en-US" w:eastAsia="zh-CN"/>
        </w:rPr>
        <w:t>泽州县</w:t>
      </w:r>
      <w:r>
        <w:rPr>
          <w:rFonts w:ascii="Times New Roman" w:hAnsi="Times New Roman" w:eastAsia="宋体" w:cs="Times New Roman"/>
          <w:sz w:val="28"/>
          <w:szCs w:val="28"/>
        </w:rPr>
        <w:t>水利基础设施规划建设的行业决策机构，需要进一步完善工作机制，发挥组织协调作用，加强对规划执行的检查，加强对重要问题的研究。审议水利规划和规划管理的战略方针、阶段性工作成果及其重大调整、变更；审议本年度建设计划安排和上年度建设计划完成情况；审议重要地区、重大项目选址和规划设计。完善局长办公会议制度，研究处理有关</w:t>
      </w:r>
      <w:r>
        <w:rPr>
          <w:rFonts w:hint="eastAsia" w:ascii="Times New Roman" w:hAnsi="Times New Roman" w:eastAsia="宋体" w:cs="Times New Roman"/>
          <w:sz w:val="28"/>
          <w:szCs w:val="28"/>
          <w:lang w:eastAsia="zh-CN"/>
        </w:rPr>
        <w:t>市</w:t>
      </w:r>
      <w:r>
        <w:rPr>
          <w:rFonts w:ascii="Times New Roman" w:hAnsi="Times New Roman" w:eastAsia="宋体" w:cs="Times New Roman"/>
          <w:sz w:val="28"/>
          <w:szCs w:val="28"/>
        </w:rPr>
        <w:t>内水利规划、建设、管理的重要问题。</w:t>
      </w:r>
    </w:p>
    <w:p w14:paraId="158830E0">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利用全面推行</w:t>
      </w:r>
      <w:r>
        <w:rPr>
          <w:rFonts w:hint="eastAsia" w:ascii="Times New Roman" w:hAnsi="Times New Roman" w:eastAsia="宋体" w:cs="Times New Roman"/>
          <w:sz w:val="28"/>
          <w:szCs w:val="28"/>
        </w:rPr>
        <w:t>“</w:t>
      </w:r>
      <w:r>
        <w:rPr>
          <w:rFonts w:ascii="Times New Roman" w:hAnsi="Times New Roman" w:eastAsia="宋体" w:cs="Times New Roman"/>
          <w:sz w:val="28"/>
          <w:szCs w:val="28"/>
        </w:rPr>
        <w:t>河长制</w:t>
      </w:r>
      <w:r>
        <w:rPr>
          <w:rFonts w:hint="eastAsia" w:ascii="Times New Roman" w:hAnsi="Times New Roman" w:eastAsia="宋体" w:cs="Times New Roman"/>
          <w:sz w:val="28"/>
          <w:szCs w:val="28"/>
        </w:rPr>
        <w:t>”</w:t>
      </w:r>
      <w:r>
        <w:rPr>
          <w:rFonts w:ascii="Times New Roman" w:hAnsi="Times New Roman" w:eastAsia="宋体" w:cs="Times New Roman"/>
          <w:sz w:val="28"/>
          <w:szCs w:val="28"/>
        </w:rPr>
        <w:t>契机，充分发挥河长制对河道水域及水利基础设施管理保护的制度优势，统筹加强河道水体和水利基础设施空间管理，维护河道生命健康。严格水域岸线分区管理和用途管制，实现岸线资源节约集约利用。各级人民政府要对所辖区域河道流域重要河道及水利基础设施的保护和开发利用承担主体责任，加强日常巡查和现场监管。</w:t>
      </w:r>
    </w:p>
    <w:p w14:paraId="5809272C">
      <w:pPr>
        <w:pStyle w:val="5"/>
      </w:pPr>
      <w:bookmarkStart w:id="187" w:name="_Toc26103"/>
      <w:r>
        <w:rPr>
          <w:rFonts w:hint="eastAsia"/>
          <w:lang w:val="en-US" w:eastAsia="zh-CN"/>
        </w:rPr>
        <w:t>11.2</w:t>
      </w:r>
      <w:r>
        <w:t>落实目标责任</w:t>
      </w:r>
      <w:bookmarkEnd w:id="187"/>
    </w:p>
    <w:p w14:paraId="1943F691">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加强规划目标指标实施进展监测和重点任务完成情况的跟踪，建立规划实施督促检查机制，加强对规划目标指标和重点任务完成情况的跟踪督办。适时开展规划实施情况评估，分析实施效果及存在问题，提升规划的适应性和实操性。规划任务和目标，进行县</w:t>
      </w:r>
      <w:r>
        <w:rPr>
          <w:rFonts w:hint="eastAsia" w:ascii="Times New Roman" w:hAnsi="Times New Roman" w:eastAsia="宋体" w:cs="Times New Roman"/>
          <w:sz w:val="28"/>
          <w:szCs w:val="28"/>
          <w:lang w:eastAsia="zh-CN"/>
        </w:rPr>
        <w:t>级</w:t>
      </w:r>
      <w:r>
        <w:rPr>
          <w:rFonts w:ascii="Times New Roman" w:hAnsi="Times New Roman" w:eastAsia="宋体" w:cs="Times New Roman"/>
          <w:sz w:val="28"/>
          <w:szCs w:val="28"/>
        </w:rPr>
        <w:t>逐层分解，明确建设、管理的目标、责任及内容，落实到单位、到责任人，列入年度水利督察考核。</w:t>
      </w:r>
    </w:p>
    <w:p w14:paraId="702FEEE0">
      <w:pPr>
        <w:pStyle w:val="5"/>
      </w:pPr>
      <w:bookmarkStart w:id="188" w:name="_Toc386"/>
      <w:r>
        <w:rPr>
          <w:rFonts w:hint="eastAsia"/>
          <w:lang w:val="en-US" w:eastAsia="zh-CN"/>
        </w:rPr>
        <w:t>11.3</w:t>
      </w:r>
      <w:r>
        <w:t>加强基础工作</w:t>
      </w:r>
      <w:bookmarkEnd w:id="188"/>
    </w:p>
    <w:p w14:paraId="6FE321E4">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本规划编制正逢</w:t>
      </w:r>
      <w:r>
        <w:rPr>
          <w:rFonts w:hint="eastAsia" w:eastAsia="宋体" w:cs="Times New Roman"/>
          <w:sz w:val="28"/>
          <w:szCs w:val="28"/>
          <w:lang w:eastAsia="zh-CN"/>
        </w:rPr>
        <w:t>“</w:t>
      </w:r>
      <w:r>
        <w:rPr>
          <w:rFonts w:ascii="Times New Roman" w:hAnsi="Times New Roman" w:eastAsia="宋体" w:cs="Times New Roman"/>
          <w:sz w:val="28"/>
          <w:szCs w:val="28"/>
        </w:rPr>
        <w:t>十四五</w:t>
      </w:r>
      <w:r>
        <w:rPr>
          <w:rFonts w:hint="eastAsia" w:eastAsia="宋体" w:cs="Times New Roman"/>
          <w:sz w:val="28"/>
          <w:szCs w:val="28"/>
          <w:lang w:eastAsia="zh-CN"/>
        </w:rPr>
        <w:t>”</w:t>
      </w:r>
      <w:r>
        <w:rPr>
          <w:rFonts w:ascii="Times New Roman" w:hAnsi="Times New Roman" w:eastAsia="宋体" w:cs="Times New Roman"/>
          <w:sz w:val="28"/>
          <w:szCs w:val="28"/>
        </w:rPr>
        <w:t>规划编制时期，需要水资源、防洪、供排水、水生态改善、水土保持等专业规划支撑，需要与各专业规划进一步衔接，需要加强基础工作，细化规划项目内容。在建立水利基础设施空间布局一张图之后，对于水利工程的建设持续关注，对一张图持续，做到一张图与实际相一致的效果。</w:t>
      </w:r>
    </w:p>
    <w:p w14:paraId="6D101AC0">
      <w:pPr>
        <w:pStyle w:val="5"/>
      </w:pPr>
      <w:bookmarkStart w:id="189" w:name="_Toc10156"/>
      <w:r>
        <w:rPr>
          <w:rFonts w:hint="eastAsia"/>
          <w:lang w:val="en-US" w:eastAsia="zh-CN"/>
        </w:rPr>
        <w:t>11.4</w:t>
      </w:r>
      <w:r>
        <w:t>健全协商机制</w:t>
      </w:r>
      <w:bookmarkEnd w:id="189"/>
    </w:p>
    <w:p w14:paraId="59C8708D">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完善重大项目选址决策机制，构建省、市、县相衔接联动的规划基础平台，各部门和各行政区协调推进工作的空间信息共享平台。加强各部门在公共财政投入、土地供应、重大项目推进与空间布局在建设时序上的相互协调，合理确定重点任务的年度安排和行动计划，实现行政区协调、多部门联动、同步高效的协商机制。</w:t>
      </w:r>
    </w:p>
    <w:p w14:paraId="055B1FBB">
      <w:pPr>
        <w:pStyle w:val="5"/>
      </w:pPr>
      <w:bookmarkStart w:id="190" w:name="_Toc6011"/>
      <w:r>
        <w:rPr>
          <w:rFonts w:hint="eastAsia"/>
          <w:lang w:val="en-US" w:eastAsia="zh-CN"/>
        </w:rPr>
        <w:t>11.5</w:t>
      </w:r>
      <w:r>
        <w:t>完善监督评估</w:t>
      </w:r>
      <w:bookmarkEnd w:id="190"/>
    </w:p>
    <w:p w14:paraId="23A84658">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pPr>
      <w:r>
        <w:rPr>
          <w:rFonts w:ascii="Times New Roman" w:hAnsi="Times New Roman" w:eastAsia="宋体" w:cs="Times New Roman"/>
          <w:sz w:val="28"/>
          <w:szCs w:val="28"/>
        </w:rPr>
        <w:t>以实时监测与定期评估相结合，对水利设施空间布局规划中确定的各项指标进行实时监测。建立一年一体检、五年一评估的常态化机制，年度体检结果作为下一年度实施计划编制的重要依据，五年评估结果作为近期建设规划编制的重要依据。结合五年评估和第三方综合评估，开展规划动态维护。</w:t>
      </w:r>
    </w:p>
    <w:p w14:paraId="275D363E">
      <w:pPr>
        <w:pStyle w:val="5"/>
      </w:pPr>
      <w:bookmarkStart w:id="191" w:name="_Toc31510"/>
      <w:r>
        <w:rPr>
          <w:rFonts w:hint="eastAsia"/>
          <w:lang w:val="en-US" w:eastAsia="zh-CN"/>
        </w:rPr>
        <w:t>11.6</w:t>
      </w:r>
      <w:r>
        <w:t>创新体制机制</w:t>
      </w:r>
      <w:bookmarkEnd w:id="191"/>
    </w:p>
    <w:p w14:paraId="080EF4EB">
      <w:pPr>
        <w:keepNext w:val="0"/>
        <w:keepLines w:val="0"/>
        <w:pageBreakBefore w:val="0"/>
        <w:widowControl w:val="0"/>
        <w:kinsoku/>
        <w:wordWrap/>
        <w:overflowPunct/>
        <w:topLinePunct w:val="0"/>
        <w:autoSpaceDE/>
        <w:autoSpaceDN/>
        <w:bidi w:val="0"/>
        <w:adjustRightInd w:val="0"/>
        <w:snapToGrid w:val="0"/>
        <w:spacing w:line="360" w:lineRule="auto"/>
        <w:ind w:firstLine="560"/>
        <w:textAlignment w:val="auto"/>
        <w:rPr>
          <w:rFonts w:ascii="Times New Roman" w:hAnsi="Times New Roman" w:eastAsia="宋体" w:cs="Times New Roman"/>
          <w:sz w:val="28"/>
          <w:szCs w:val="28"/>
        </w:rPr>
        <w:sectPr>
          <w:pgSz w:w="11905" w:h="16838"/>
          <w:pgMar w:top="1417" w:right="1587" w:bottom="1417" w:left="1587" w:header="851" w:footer="1020" w:gutter="0"/>
          <w:pgBorders>
            <w:top w:val="none" w:sz="0" w:space="0"/>
            <w:left w:val="none" w:sz="0" w:space="0"/>
            <w:bottom w:val="none" w:sz="0" w:space="0"/>
            <w:right w:val="none" w:sz="0" w:space="0"/>
          </w:pgBorders>
          <w:pgNumType w:fmt="decimal"/>
          <w:cols w:space="0" w:num="1"/>
          <w:rtlGutter w:val="0"/>
          <w:docGrid w:linePitch="312" w:charSpace="0"/>
        </w:sectPr>
      </w:pPr>
      <w:r>
        <w:rPr>
          <w:rFonts w:ascii="Times New Roman" w:hAnsi="Times New Roman" w:eastAsia="宋体" w:cs="Times New Roman"/>
          <w:sz w:val="28"/>
          <w:szCs w:val="28"/>
        </w:rPr>
        <w:t>建立</w:t>
      </w:r>
      <w:r>
        <w:rPr>
          <w:rFonts w:hint="eastAsia" w:eastAsia="宋体" w:cs="Times New Roman"/>
          <w:sz w:val="28"/>
          <w:szCs w:val="28"/>
          <w:lang w:val="en-US" w:eastAsia="zh-CN"/>
        </w:rPr>
        <w:t>县</w:t>
      </w:r>
      <w:r>
        <w:rPr>
          <w:rFonts w:ascii="Times New Roman" w:hAnsi="Times New Roman" w:eastAsia="宋体" w:cs="Times New Roman"/>
          <w:sz w:val="28"/>
          <w:szCs w:val="28"/>
        </w:rPr>
        <w:t>内不同部门国土空间协商机制，建立</w:t>
      </w:r>
      <w:r>
        <w:rPr>
          <w:rFonts w:hint="eastAsia" w:eastAsia="宋体" w:cs="Times New Roman"/>
          <w:sz w:val="28"/>
          <w:szCs w:val="28"/>
          <w:lang w:val="en-US" w:eastAsia="zh-CN"/>
        </w:rPr>
        <w:t>泽州县</w:t>
      </w:r>
      <w:r>
        <w:rPr>
          <w:rFonts w:ascii="Times New Roman" w:hAnsi="Times New Roman" w:eastAsia="宋体" w:cs="Times New Roman"/>
          <w:sz w:val="28"/>
          <w:szCs w:val="28"/>
        </w:rPr>
        <w:t>与</w:t>
      </w:r>
      <w:r>
        <w:rPr>
          <w:rFonts w:hint="eastAsia" w:eastAsia="宋体" w:cs="Times New Roman"/>
          <w:sz w:val="28"/>
          <w:szCs w:val="28"/>
          <w:lang w:val="en-US" w:eastAsia="zh-CN"/>
        </w:rPr>
        <w:t>晋城市、</w:t>
      </w:r>
      <w:r>
        <w:rPr>
          <w:rFonts w:hint="eastAsia" w:ascii="Times New Roman" w:hAnsi="Times New Roman" w:eastAsia="宋体" w:cs="Times New Roman"/>
          <w:sz w:val="28"/>
          <w:szCs w:val="28"/>
          <w:lang w:eastAsia="zh-CN"/>
        </w:rPr>
        <w:t>山西省、</w:t>
      </w:r>
      <w:r>
        <w:rPr>
          <w:rFonts w:ascii="Times New Roman" w:hAnsi="Times New Roman" w:eastAsia="宋体" w:cs="Times New Roman"/>
          <w:sz w:val="28"/>
          <w:szCs w:val="28"/>
        </w:rPr>
        <w:t>流域委水利基础设施空间规划协商制度，加强与相邻</w:t>
      </w:r>
      <w:r>
        <w:rPr>
          <w:rFonts w:hint="eastAsia" w:eastAsia="宋体" w:cs="Times New Roman"/>
          <w:sz w:val="28"/>
          <w:szCs w:val="28"/>
          <w:lang w:val="en-US" w:eastAsia="zh-CN"/>
        </w:rPr>
        <w:t>县市区</w:t>
      </w:r>
      <w:r>
        <w:rPr>
          <w:rFonts w:ascii="Times New Roman" w:hAnsi="Times New Roman" w:eastAsia="宋体" w:cs="Times New Roman"/>
          <w:sz w:val="28"/>
          <w:szCs w:val="28"/>
        </w:rPr>
        <w:t>的协商和对话，形成协同规划建设管理的长效机制，协调处理涉及区域协同发展的相关规划建设问题。以空间规划为平台，推进区域城乡规划建设、生态环境保护、产业协同发展和信息沟通共享等方面协调统筹，保障全</w:t>
      </w:r>
      <w:r>
        <w:rPr>
          <w:rFonts w:hint="eastAsia" w:eastAsia="宋体" w:cs="Times New Roman"/>
          <w:sz w:val="28"/>
          <w:szCs w:val="28"/>
          <w:lang w:val="en-US" w:eastAsia="zh-CN"/>
        </w:rPr>
        <w:t>县</w:t>
      </w:r>
      <w:r>
        <w:rPr>
          <w:rFonts w:ascii="Times New Roman" w:hAnsi="Times New Roman" w:eastAsia="宋体" w:cs="Times New Roman"/>
          <w:sz w:val="28"/>
          <w:szCs w:val="28"/>
        </w:rPr>
        <w:t>和区域协同发展。</w:t>
      </w:r>
    </w:p>
    <w:p w14:paraId="6271F3D6">
      <w:pPr>
        <w:pStyle w:val="2"/>
      </w:pPr>
    </w:p>
    <w:p w14:paraId="1E761A11">
      <w:pPr>
        <w:widowControl/>
        <w:adjustRightInd/>
        <w:snapToGrid/>
        <w:spacing w:line="240" w:lineRule="auto"/>
        <w:ind w:firstLine="0" w:firstLineChars="0"/>
        <w:jc w:val="left"/>
      </w:pPr>
    </w:p>
    <w:p w14:paraId="6D32FB70">
      <w:pPr>
        <w:bidi w:val="0"/>
        <w:rPr>
          <w:rFonts w:ascii="Times New Roman" w:hAnsi="Times New Roman" w:eastAsia="仿宋" w:cs="Times New Roman"/>
          <w:kern w:val="2"/>
          <w:sz w:val="32"/>
          <w:szCs w:val="24"/>
          <w:lang w:val="en-US" w:eastAsia="zh-CN" w:bidi="ar-SA"/>
        </w:rPr>
      </w:pPr>
    </w:p>
    <w:p w14:paraId="7C7DAE0D">
      <w:pPr>
        <w:tabs>
          <w:tab w:val="left" w:pos="4236"/>
        </w:tabs>
        <w:bidi w:val="0"/>
        <w:jc w:val="left"/>
        <w:rPr>
          <w:rFonts w:hint="eastAsia"/>
          <w:lang w:val="en-US" w:eastAsia="zh-CN"/>
        </w:rPr>
      </w:pPr>
      <w:r>
        <w:rPr>
          <w:rFonts w:hint="eastAsia"/>
          <w:lang w:val="en-US" w:eastAsia="zh-CN"/>
        </w:rPr>
        <w:tab/>
      </w:r>
    </w:p>
    <w:p w14:paraId="18BFA57F">
      <w:pPr>
        <w:tabs>
          <w:tab w:val="left" w:pos="4236"/>
        </w:tabs>
        <w:bidi w:val="0"/>
        <w:jc w:val="left"/>
        <w:rPr>
          <w:rFonts w:hint="eastAsia"/>
          <w:lang w:val="en-US" w:eastAsia="zh-CN"/>
        </w:rPr>
      </w:pPr>
    </w:p>
    <w:p w14:paraId="4CA6FF6A">
      <w:pPr>
        <w:tabs>
          <w:tab w:val="left" w:pos="4236"/>
        </w:tabs>
        <w:bidi w:val="0"/>
        <w:jc w:val="left"/>
        <w:rPr>
          <w:rFonts w:hint="eastAsia"/>
          <w:lang w:val="en-US" w:eastAsia="zh-CN"/>
        </w:rPr>
      </w:pPr>
    </w:p>
    <w:p w14:paraId="0CE1ED13">
      <w:pPr>
        <w:tabs>
          <w:tab w:val="left" w:pos="4236"/>
        </w:tabs>
        <w:bidi w:val="0"/>
        <w:jc w:val="left"/>
        <w:rPr>
          <w:rFonts w:hint="eastAsia"/>
          <w:lang w:val="en-US" w:eastAsia="zh-CN"/>
        </w:rPr>
      </w:pPr>
    </w:p>
    <w:p w14:paraId="30E32E0B">
      <w:pPr>
        <w:tabs>
          <w:tab w:val="left" w:pos="4236"/>
        </w:tabs>
        <w:bidi w:val="0"/>
        <w:jc w:val="left"/>
        <w:rPr>
          <w:rFonts w:hint="eastAsia"/>
          <w:lang w:val="en-US" w:eastAsia="zh-CN"/>
        </w:rPr>
      </w:pPr>
    </w:p>
    <w:p w14:paraId="7DD1D5F3">
      <w:pPr>
        <w:tabs>
          <w:tab w:val="left" w:pos="4236"/>
        </w:tabs>
        <w:bidi w:val="0"/>
        <w:jc w:val="left"/>
        <w:rPr>
          <w:rFonts w:hint="eastAsia"/>
          <w:lang w:val="en-US" w:eastAsia="zh-CN"/>
        </w:rPr>
      </w:pPr>
    </w:p>
    <w:p w14:paraId="72D0D5C7">
      <w:pPr>
        <w:tabs>
          <w:tab w:val="left" w:pos="4236"/>
        </w:tabs>
        <w:bidi w:val="0"/>
        <w:jc w:val="left"/>
        <w:rPr>
          <w:rFonts w:hint="eastAsia"/>
          <w:lang w:val="en-US" w:eastAsia="zh-CN"/>
        </w:rPr>
      </w:pPr>
    </w:p>
    <w:p w14:paraId="6EE50238">
      <w:pPr>
        <w:tabs>
          <w:tab w:val="left" w:pos="4236"/>
        </w:tabs>
        <w:bidi w:val="0"/>
        <w:jc w:val="left"/>
        <w:rPr>
          <w:rFonts w:hint="eastAsia"/>
          <w:lang w:val="en-US" w:eastAsia="zh-CN"/>
        </w:rPr>
      </w:pPr>
    </w:p>
    <w:p w14:paraId="230B94CF">
      <w:pPr>
        <w:widowControl/>
        <w:adjustRightInd/>
        <w:snapToGrid/>
        <w:spacing w:line="240" w:lineRule="auto"/>
        <w:ind w:firstLine="0" w:firstLineChars="0"/>
        <w:jc w:val="center"/>
        <w:rPr>
          <w:rFonts w:hint="eastAsia" w:ascii="华文中宋" w:hAnsi="华文中宋" w:eastAsia="华文中宋" w:cs="等线 Light"/>
          <w:b/>
          <w:sz w:val="52"/>
          <w:szCs w:val="52"/>
          <w:lang w:val="en-US" w:eastAsia="zh-CN"/>
        </w:rPr>
      </w:pPr>
    </w:p>
    <w:p w14:paraId="1587CDF2">
      <w:pPr>
        <w:pStyle w:val="2"/>
        <w:rPr>
          <w:rFonts w:hint="eastAsia" w:ascii="华文中宋" w:hAnsi="华文中宋" w:eastAsia="华文中宋" w:cs="等线 Light"/>
          <w:b/>
          <w:sz w:val="52"/>
          <w:szCs w:val="52"/>
          <w:lang w:val="en-US" w:eastAsia="zh-CN"/>
        </w:rPr>
      </w:pPr>
    </w:p>
    <w:p w14:paraId="10EB843E">
      <w:pPr>
        <w:rPr>
          <w:rFonts w:hint="eastAsia" w:ascii="华文中宋" w:hAnsi="华文中宋" w:eastAsia="华文中宋" w:cs="等线 Light"/>
          <w:b/>
          <w:sz w:val="52"/>
          <w:szCs w:val="52"/>
          <w:lang w:val="en-US" w:eastAsia="zh-CN"/>
        </w:rPr>
      </w:pPr>
    </w:p>
    <w:p w14:paraId="77E46FC3">
      <w:pPr>
        <w:pStyle w:val="2"/>
        <w:rPr>
          <w:rFonts w:hint="eastAsia" w:ascii="华文中宋" w:hAnsi="华文中宋" w:eastAsia="华文中宋" w:cs="等线 Light"/>
          <w:b/>
          <w:sz w:val="52"/>
          <w:szCs w:val="52"/>
          <w:lang w:val="en-US" w:eastAsia="zh-CN"/>
        </w:rPr>
      </w:pPr>
    </w:p>
    <w:p w14:paraId="5FFC83F5">
      <w:pPr>
        <w:rPr>
          <w:rFonts w:hint="eastAsia" w:ascii="华文中宋" w:hAnsi="华文中宋" w:eastAsia="华文中宋" w:cs="等线 Light"/>
          <w:b/>
          <w:sz w:val="52"/>
          <w:szCs w:val="52"/>
          <w:lang w:val="en-US" w:eastAsia="zh-CN"/>
        </w:rPr>
      </w:pPr>
    </w:p>
    <w:p w14:paraId="6E96D01A">
      <w:pPr>
        <w:pStyle w:val="2"/>
        <w:rPr>
          <w:rFonts w:hint="eastAsia" w:ascii="华文中宋" w:hAnsi="华文中宋" w:eastAsia="华文中宋" w:cs="等线 Light"/>
          <w:b/>
          <w:sz w:val="52"/>
          <w:szCs w:val="52"/>
          <w:lang w:val="en-US" w:eastAsia="zh-CN"/>
        </w:rPr>
      </w:pPr>
    </w:p>
    <w:p w14:paraId="7DBE456E">
      <w:pPr>
        <w:rPr>
          <w:rFonts w:hint="eastAsia" w:ascii="华文中宋" w:hAnsi="华文中宋" w:eastAsia="华文中宋" w:cs="等线 Light"/>
          <w:b/>
          <w:sz w:val="52"/>
          <w:szCs w:val="52"/>
          <w:lang w:val="en-US" w:eastAsia="zh-CN"/>
        </w:rPr>
      </w:pPr>
    </w:p>
    <w:p w14:paraId="7AACC16C">
      <w:pPr>
        <w:pStyle w:val="2"/>
        <w:rPr>
          <w:rFonts w:hint="eastAsia" w:ascii="华文中宋" w:hAnsi="华文中宋" w:eastAsia="华文中宋" w:cs="等线 Light"/>
          <w:b/>
          <w:sz w:val="52"/>
          <w:szCs w:val="52"/>
          <w:lang w:val="en-US" w:eastAsia="zh-CN"/>
        </w:rPr>
      </w:pPr>
    </w:p>
    <w:p w14:paraId="0093B5C4">
      <w:pPr>
        <w:rPr>
          <w:rFonts w:hint="eastAsia" w:ascii="华文中宋" w:hAnsi="华文中宋" w:eastAsia="华文中宋" w:cs="等线 Light"/>
          <w:b/>
          <w:sz w:val="52"/>
          <w:szCs w:val="52"/>
          <w:lang w:val="en-US" w:eastAsia="zh-CN"/>
        </w:rPr>
      </w:pPr>
    </w:p>
    <w:p w14:paraId="13862664">
      <w:pPr>
        <w:pStyle w:val="2"/>
        <w:rPr>
          <w:rFonts w:hint="eastAsia" w:ascii="华文中宋" w:hAnsi="华文中宋" w:eastAsia="华文中宋" w:cs="等线 Light"/>
          <w:b/>
          <w:sz w:val="52"/>
          <w:szCs w:val="52"/>
          <w:lang w:val="en-US" w:eastAsia="zh-CN"/>
        </w:rPr>
      </w:pPr>
    </w:p>
    <w:p w14:paraId="285641E0">
      <w:pPr>
        <w:rPr>
          <w:rFonts w:hint="eastAsia" w:ascii="华文中宋" w:hAnsi="华文中宋" w:eastAsia="华文中宋" w:cs="等线 Light"/>
          <w:b/>
          <w:sz w:val="52"/>
          <w:szCs w:val="52"/>
          <w:lang w:val="en-US" w:eastAsia="zh-CN"/>
        </w:rPr>
      </w:pPr>
    </w:p>
    <w:p w14:paraId="7FF3E98D">
      <w:pPr>
        <w:pStyle w:val="2"/>
        <w:rPr>
          <w:rFonts w:hint="eastAsia" w:ascii="华文中宋" w:hAnsi="华文中宋" w:eastAsia="华文中宋" w:cs="等线 Light"/>
          <w:b/>
          <w:sz w:val="52"/>
          <w:szCs w:val="52"/>
          <w:lang w:val="en-US" w:eastAsia="zh-CN"/>
        </w:rPr>
      </w:pPr>
    </w:p>
    <w:p w14:paraId="6983B70F">
      <w:pPr>
        <w:rPr>
          <w:rFonts w:hint="eastAsia" w:ascii="华文中宋" w:hAnsi="华文中宋" w:eastAsia="华文中宋" w:cs="等线 Light"/>
          <w:b/>
          <w:sz w:val="52"/>
          <w:szCs w:val="52"/>
          <w:lang w:val="en-US" w:eastAsia="zh-CN"/>
        </w:rPr>
      </w:pPr>
    </w:p>
    <w:p w14:paraId="1AC3C0E3">
      <w:pPr>
        <w:pStyle w:val="2"/>
        <w:rPr>
          <w:rFonts w:hint="eastAsia" w:ascii="华文中宋" w:hAnsi="华文中宋" w:eastAsia="华文中宋" w:cs="等线 Light"/>
          <w:b/>
          <w:sz w:val="52"/>
          <w:szCs w:val="52"/>
          <w:lang w:val="en-US" w:eastAsia="zh-CN"/>
        </w:rPr>
        <w:sectPr>
          <w:footerReference r:id="rId19" w:type="default"/>
          <w:pgSz w:w="11905" w:h="16838"/>
          <w:pgMar w:top="1417" w:right="1587" w:bottom="1417" w:left="1587" w:header="851" w:footer="1020" w:gutter="0"/>
          <w:pgBorders>
            <w:top w:val="none" w:sz="0" w:space="0"/>
            <w:left w:val="none" w:sz="0" w:space="0"/>
            <w:bottom w:val="none" w:sz="0" w:space="0"/>
            <w:right w:val="none" w:sz="0" w:space="0"/>
          </w:pgBorders>
          <w:pgNumType w:fmt="decimal"/>
          <w:cols w:space="0" w:num="1"/>
          <w:rtlGutter w:val="0"/>
          <w:docGrid w:linePitch="312" w:charSpace="0"/>
        </w:sectPr>
      </w:pPr>
    </w:p>
    <w:p w14:paraId="2FF2F44E">
      <w:pPr>
        <w:rPr>
          <w:rFonts w:hint="eastAsia"/>
          <w:lang w:val="en-US" w:eastAsia="zh-CN"/>
        </w:rPr>
      </w:pPr>
    </w:p>
    <w:p w14:paraId="45395607">
      <w:pPr>
        <w:widowControl/>
        <w:adjustRightInd/>
        <w:snapToGrid/>
        <w:spacing w:line="240" w:lineRule="auto"/>
        <w:ind w:firstLine="0" w:firstLineChars="0"/>
        <w:jc w:val="center"/>
        <w:rPr>
          <w:rFonts w:ascii="华文中宋" w:hAnsi="华文中宋" w:eastAsia="华文中宋" w:cs="等线 Light"/>
          <w:b/>
          <w:sz w:val="52"/>
          <w:szCs w:val="52"/>
        </w:rPr>
      </w:pPr>
      <w:r>
        <w:rPr>
          <w:rFonts w:hint="eastAsia" w:ascii="华文中宋" w:hAnsi="华文中宋" w:eastAsia="华文中宋" w:cs="等线 Light"/>
          <w:b/>
          <w:sz w:val="52"/>
          <w:szCs w:val="52"/>
          <w:lang w:val="en-US" w:eastAsia="zh-CN"/>
        </w:rPr>
        <w:t>泽州县</w:t>
      </w:r>
      <w:r>
        <w:rPr>
          <w:rFonts w:hint="eastAsia" w:ascii="华文中宋" w:hAnsi="华文中宋" w:eastAsia="华文中宋" w:cs="等线 Light"/>
          <w:b/>
          <w:sz w:val="52"/>
          <w:szCs w:val="52"/>
        </w:rPr>
        <w:t>水利基础设施空间布局规划</w:t>
      </w:r>
    </w:p>
    <w:p w14:paraId="67B26AA5">
      <w:pPr>
        <w:pStyle w:val="2"/>
        <w:ind w:firstLine="0" w:firstLineChars="0"/>
        <w:jc w:val="center"/>
      </w:pPr>
    </w:p>
    <w:p w14:paraId="25330651">
      <w:pPr>
        <w:ind w:firstLine="482"/>
        <w:rPr>
          <w:b/>
        </w:rPr>
      </w:pPr>
    </w:p>
    <w:p w14:paraId="627EC81B">
      <w:pPr>
        <w:spacing w:line="480" w:lineRule="auto"/>
        <w:ind w:firstLine="1273" w:firstLineChars="398"/>
        <w:rPr>
          <w:sz w:val="32"/>
          <w:szCs w:val="32"/>
        </w:rPr>
      </w:pPr>
    </w:p>
    <w:p w14:paraId="4EF4B520">
      <w:pPr>
        <w:spacing w:line="480" w:lineRule="auto"/>
        <w:ind w:firstLine="1273" w:firstLineChars="398"/>
        <w:rPr>
          <w:rFonts w:hint="eastAsia" w:ascii="宋体" w:hAnsi="宋体" w:eastAsia="宋体" w:cs="宋体"/>
          <w:sz w:val="32"/>
          <w:szCs w:val="32"/>
        </w:rPr>
      </w:pPr>
      <w:r>
        <w:rPr>
          <w:rFonts w:hint="eastAsia" w:ascii="宋体" w:hAnsi="宋体" w:eastAsia="宋体" w:cs="宋体"/>
          <w:sz w:val="32"/>
          <w:szCs w:val="32"/>
        </w:rPr>
        <w:t>批      准：付海亮</w:t>
      </w:r>
    </w:p>
    <w:p w14:paraId="1C098F1D">
      <w:pPr>
        <w:spacing w:line="480" w:lineRule="auto"/>
        <w:ind w:firstLine="1273" w:firstLineChars="398"/>
        <w:rPr>
          <w:rFonts w:hint="eastAsia" w:ascii="宋体" w:hAnsi="宋体" w:eastAsia="宋体" w:cs="宋体"/>
          <w:sz w:val="32"/>
          <w:szCs w:val="32"/>
        </w:rPr>
      </w:pPr>
      <w:r>
        <w:rPr>
          <w:rFonts w:hint="eastAsia" w:ascii="宋体" w:hAnsi="宋体" w:eastAsia="宋体" w:cs="宋体"/>
          <w:sz w:val="32"/>
          <w:szCs w:val="32"/>
        </w:rPr>
        <w:t>审      查：郭松虎</w:t>
      </w:r>
    </w:p>
    <w:p w14:paraId="76B86175">
      <w:pPr>
        <w:spacing w:line="480" w:lineRule="auto"/>
        <w:ind w:firstLine="1273" w:firstLineChars="398"/>
        <w:rPr>
          <w:rFonts w:hint="eastAsia" w:ascii="宋体" w:hAnsi="宋体" w:eastAsia="宋体" w:cs="宋体"/>
          <w:sz w:val="32"/>
          <w:szCs w:val="32"/>
        </w:rPr>
      </w:pPr>
      <w:r>
        <w:rPr>
          <w:rFonts w:hint="eastAsia" w:ascii="宋体" w:hAnsi="宋体" w:eastAsia="宋体" w:cs="宋体"/>
          <w:sz w:val="32"/>
          <w:szCs w:val="32"/>
        </w:rPr>
        <w:t>项目负责人：刘爱林</w:t>
      </w:r>
    </w:p>
    <w:p w14:paraId="7FB79C24">
      <w:pPr>
        <w:spacing w:line="480" w:lineRule="auto"/>
        <w:ind w:firstLine="1273" w:firstLineChars="398"/>
        <w:rPr>
          <w:rFonts w:hint="eastAsia" w:ascii="宋体" w:hAnsi="宋体" w:eastAsia="宋体" w:cs="宋体"/>
          <w:sz w:val="32"/>
          <w:szCs w:val="32"/>
          <w:lang w:val="en-US" w:eastAsia="zh-CN"/>
        </w:rPr>
      </w:pPr>
      <w:r>
        <w:rPr>
          <w:rFonts w:hint="eastAsia" w:ascii="宋体" w:hAnsi="宋体" w:eastAsia="宋体" w:cs="宋体"/>
          <w:sz w:val="32"/>
          <w:szCs w:val="32"/>
        </w:rPr>
        <w:t>校      核：</w:t>
      </w:r>
      <w:r>
        <w:rPr>
          <w:rFonts w:hint="eastAsia" w:ascii="宋体" w:hAnsi="宋体" w:eastAsia="宋体" w:cs="宋体"/>
          <w:sz w:val="32"/>
          <w:szCs w:val="32"/>
          <w:lang w:val="en-US" w:eastAsia="zh-CN"/>
        </w:rPr>
        <w:t>司  青</w:t>
      </w:r>
    </w:p>
    <w:p w14:paraId="3466F0B4">
      <w:pPr>
        <w:spacing w:line="480" w:lineRule="auto"/>
        <w:ind w:firstLine="1273" w:firstLineChars="398"/>
        <w:rPr>
          <w:rFonts w:hint="eastAsia" w:ascii="宋体" w:hAnsi="宋体" w:eastAsia="宋体" w:cs="宋体"/>
          <w:sz w:val="32"/>
          <w:szCs w:val="32"/>
        </w:rPr>
      </w:pPr>
      <w:r>
        <w:rPr>
          <w:rFonts w:hint="eastAsia" w:ascii="宋体" w:hAnsi="宋体" w:eastAsia="宋体" w:cs="宋体"/>
          <w:sz w:val="32"/>
          <w:szCs w:val="32"/>
        </w:rPr>
        <w:t>编      写：司亚飞  宋建丽</w:t>
      </w:r>
    </w:p>
    <w:p w14:paraId="4FC1B0D1">
      <w:pPr>
        <w:spacing w:line="480" w:lineRule="auto"/>
        <w:ind w:firstLine="3190" w:firstLineChars="997"/>
        <w:rPr>
          <w:rFonts w:hint="eastAsia" w:ascii="宋体" w:hAnsi="宋体" w:eastAsia="宋体" w:cs="宋体"/>
          <w:sz w:val="32"/>
          <w:szCs w:val="32"/>
        </w:rPr>
      </w:pPr>
      <w:r>
        <w:rPr>
          <w:rFonts w:hint="eastAsia" w:ascii="宋体" w:hAnsi="宋体" w:eastAsia="宋体" w:cs="宋体"/>
          <w:sz w:val="32"/>
          <w:szCs w:val="32"/>
        </w:rPr>
        <w:t>刘晓梅  王  琦</w:t>
      </w:r>
    </w:p>
    <w:p w14:paraId="257192A1">
      <w:pPr>
        <w:spacing w:line="480" w:lineRule="auto"/>
        <w:ind w:firstLine="3200" w:firstLineChars="1000"/>
        <w:rPr>
          <w:rFonts w:hint="eastAsia" w:ascii="宋体" w:hAnsi="宋体" w:eastAsia="宋体" w:cs="宋体"/>
          <w:sz w:val="32"/>
          <w:szCs w:val="32"/>
        </w:rPr>
      </w:pPr>
      <w:r>
        <w:rPr>
          <w:rFonts w:hint="eastAsia" w:ascii="宋体" w:hAnsi="宋体" w:eastAsia="宋体" w:cs="宋体"/>
          <w:sz w:val="32"/>
          <w:szCs w:val="32"/>
        </w:rPr>
        <w:t>郭向军  朱煜鑫</w:t>
      </w:r>
    </w:p>
    <w:p w14:paraId="29A3F75E">
      <w:pPr>
        <w:spacing w:line="480" w:lineRule="auto"/>
        <w:ind w:firstLine="3200" w:firstLineChars="1000"/>
        <w:rPr>
          <w:rFonts w:hint="eastAsia" w:ascii="宋体" w:hAnsi="宋体" w:eastAsia="宋体" w:cs="宋体"/>
          <w:sz w:val="32"/>
          <w:szCs w:val="32"/>
        </w:rPr>
      </w:pPr>
      <w:r>
        <w:rPr>
          <w:rFonts w:hint="eastAsia" w:ascii="宋体" w:hAnsi="宋体" w:eastAsia="宋体" w:cs="宋体"/>
          <w:sz w:val="32"/>
          <w:szCs w:val="32"/>
        </w:rPr>
        <w:t xml:space="preserve">张青玲  </w:t>
      </w:r>
    </w:p>
    <w:p w14:paraId="40E57495">
      <w:pPr>
        <w:tabs>
          <w:tab w:val="left" w:pos="4236"/>
        </w:tabs>
        <w:bidi w:val="0"/>
        <w:ind w:left="0" w:leftChars="0" w:firstLine="0" w:firstLineChars="0"/>
        <w:jc w:val="left"/>
        <w:rPr>
          <w:rFonts w:hint="eastAsia"/>
          <w:lang w:val="en-US" w:eastAsia="zh-CN"/>
        </w:rPr>
      </w:pPr>
    </w:p>
    <w:sectPr>
      <w:footerReference r:id="rId20" w:type="default"/>
      <w:pgSz w:w="11905" w:h="16838"/>
      <w:pgMar w:top="1417" w:right="1587" w:bottom="1417" w:left="1587" w:header="851" w:footer="102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Dutch801 Rm BT">
    <w:panose1 w:val="02020603060505020304"/>
    <w:charset w:val="00"/>
    <w:family w:val="roman"/>
    <w:pitch w:val="default"/>
    <w:sig w:usb0="00000000" w:usb1="00000000" w:usb2="00000000" w:usb3="00000000" w:csb0="00000000" w:csb1="00000000"/>
  </w:font>
  <w:font w:name="FangSong_GB2312">
    <w:altName w:val="仿宋_GB2312"/>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IDFont + F1">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DFDFF">
    <w:pPr>
      <w:pStyle w:val="21"/>
      <w:ind w:firstLine="360"/>
      <w:rPr>
        <w:szCs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9F06">
    <w:pPr>
      <w:pStyle w:val="21"/>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78765">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972D8">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5256"/>
    </w:sdtPr>
    <w:sdtContent>
      <w:p w14:paraId="2290FC1E">
        <w:pPr>
          <w:pStyle w:val="21"/>
          <w:ind w:firstLine="360"/>
          <w:jc w:val="center"/>
        </w:pPr>
        <w:r>
          <w:rPr>
            <w:rFonts w:ascii="Times New Roman" w:hAnsi="Times New Roman"/>
            <w:sz w:val="22"/>
            <w:szCs w:val="22"/>
          </w:rPr>
          <w:t>-</w:t>
        </w:r>
        <w:r>
          <w:rPr>
            <w:rFonts w:ascii="Times New Roman" w:hAnsi="Times New Roman"/>
            <w:sz w:val="22"/>
            <w:szCs w:val="22"/>
          </w:rPr>
          <w:fldChar w:fldCharType="begin"/>
        </w:r>
        <w:r>
          <w:rPr>
            <w:rFonts w:ascii="Times New Roman" w:hAnsi="Times New Roman"/>
            <w:sz w:val="22"/>
            <w:szCs w:val="22"/>
          </w:rPr>
          <w:instrText xml:space="preserve"> PAGE   \* MERGEFORMAT </w:instrText>
        </w:r>
        <w:r>
          <w:rPr>
            <w:rFonts w:ascii="Times New Roman" w:hAnsi="Times New Roman"/>
            <w:sz w:val="22"/>
            <w:szCs w:val="22"/>
          </w:rPr>
          <w:fldChar w:fldCharType="separate"/>
        </w:r>
        <w:r>
          <w:rPr>
            <w:rFonts w:ascii="Times New Roman" w:hAnsi="Times New Roman"/>
            <w:sz w:val="22"/>
            <w:szCs w:val="22"/>
            <w:lang w:val="zh-CN"/>
          </w:rPr>
          <w:t>I</w:t>
        </w:r>
        <w:r>
          <w:rPr>
            <w:rFonts w:ascii="Times New Roman" w:hAnsi="Times New Roman"/>
            <w:sz w:val="22"/>
            <w:szCs w:val="22"/>
          </w:rPr>
          <w:fldChar w:fldCharType="end"/>
        </w:r>
        <w:r>
          <w:rPr>
            <w:rFonts w:ascii="Times New Roman" w:hAnsi="Times New Roman"/>
            <w:sz w:val="22"/>
            <w:szCs w:val="22"/>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5DBF2">
    <w:pPr>
      <w:pStyle w:val="21"/>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47481399"/>
                          </w:sdtPr>
                          <w:sdtContent>
                            <w:p w14:paraId="7E827AA3">
                              <w:pPr>
                                <w:pStyle w:val="21"/>
                                <w:ind w:firstLine="360"/>
                                <w:jc w:val="center"/>
                              </w:pPr>
                              <w:r>
                                <w:rPr>
                                  <w:rFonts w:ascii="Times New Roman" w:hAnsi="Times New Roman"/>
                                  <w:sz w:val="22"/>
                                  <w:szCs w:val="22"/>
                                </w:rPr>
                                <w:t>-</w:t>
                              </w:r>
                              <w:r>
                                <w:rPr>
                                  <w:rFonts w:ascii="Times New Roman" w:hAnsi="Times New Roman"/>
                                  <w:sz w:val="22"/>
                                  <w:szCs w:val="22"/>
                                </w:rPr>
                                <w:fldChar w:fldCharType="begin"/>
                              </w:r>
                              <w:r>
                                <w:rPr>
                                  <w:rFonts w:ascii="Times New Roman" w:hAnsi="Times New Roman"/>
                                  <w:sz w:val="22"/>
                                  <w:szCs w:val="22"/>
                                </w:rPr>
                                <w:instrText xml:space="preserve"> PAGE   \* MERGEFORMAT </w:instrText>
                              </w:r>
                              <w:r>
                                <w:rPr>
                                  <w:rFonts w:ascii="Times New Roman" w:hAnsi="Times New Roman"/>
                                  <w:sz w:val="22"/>
                                  <w:szCs w:val="22"/>
                                </w:rPr>
                                <w:fldChar w:fldCharType="separate"/>
                              </w:r>
                              <w:r>
                                <w:rPr>
                                  <w:rFonts w:ascii="Times New Roman" w:hAnsi="Times New Roman"/>
                                  <w:sz w:val="22"/>
                                  <w:szCs w:val="22"/>
                                  <w:lang w:val="zh-CN"/>
                                </w:rPr>
                                <w:t>I</w:t>
                              </w:r>
                              <w:r>
                                <w:rPr>
                                  <w:rFonts w:ascii="Times New Roman" w:hAnsi="Times New Roman"/>
                                  <w:sz w:val="22"/>
                                  <w:szCs w:val="22"/>
                                </w:rPr>
                                <w:fldChar w:fldCharType="end"/>
                              </w:r>
                              <w:r>
                                <w:rPr>
                                  <w:rFonts w:ascii="Times New Roman" w:hAnsi="Times New Roman"/>
                                  <w:sz w:val="22"/>
                                  <w:szCs w:val="22"/>
                                </w:rPr>
                                <w:t>-</w:t>
                              </w:r>
                            </w:p>
                          </w:sdtContent>
                        </w:sdt>
                        <w:p w14:paraId="691467D7">
                          <w:pPr>
                            <w:pStyle w:val="2"/>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sdt>
                    <w:sdtPr>
                      <w:id w:val="147481399"/>
                    </w:sdtPr>
                    <w:sdtContent>
                      <w:p w14:paraId="7E827AA3">
                        <w:pPr>
                          <w:pStyle w:val="21"/>
                          <w:ind w:firstLine="360"/>
                          <w:jc w:val="center"/>
                        </w:pPr>
                        <w:r>
                          <w:rPr>
                            <w:rFonts w:ascii="Times New Roman" w:hAnsi="Times New Roman"/>
                            <w:sz w:val="22"/>
                            <w:szCs w:val="22"/>
                          </w:rPr>
                          <w:t>-</w:t>
                        </w:r>
                        <w:r>
                          <w:rPr>
                            <w:rFonts w:ascii="Times New Roman" w:hAnsi="Times New Roman"/>
                            <w:sz w:val="22"/>
                            <w:szCs w:val="22"/>
                          </w:rPr>
                          <w:fldChar w:fldCharType="begin"/>
                        </w:r>
                        <w:r>
                          <w:rPr>
                            <w:rFonts w:ascii="Times New Roman" w:hAnsi="Times New Roman"/>
                            <w:sz w:val="22"/>
                            <w:szCs w:val="22"/>
                          </w:rPr>
                          <w:instrText xml:space="preserve"> PAGE   \* MERGEFORMAT </w:instrText>
                        </w:r>
                        <w:r>
                          <w:rPr>
                            <w:rFonts w:ascii="Times New Roman" w:hAnsi="Times New Roman"/>
                            <w:sz w:val="22"/>
                            <w:szCs w:val="22"/>
                          </w:rPr>
                          <w:fldChar w:fldCharType="separate"/>
                        </w:r>
                        <w:r>
                          <w:rPr>
                            <w:rFonts w:ascii="Times New Roman" w:hAnsi="Times New Roman"/>
                            <w:sz w:val="22"/>
                            <w:szCs w:val="22"/>
                            <w:lang w:val="zh-CN"/>
                          </w:rPr>
                          <w:t>I</w:t>
                        </w:r>
                        <w:r>
                          <w:rPr>
                            <w:rFonts w:ascii="Times New Roman" w:hAnsi="Times New Roman"/>
                            <w:sz w:val="22"/>
                            <w:szCs w:val="22"/>
                          </w:rPr>
                          <w:fldChar w:fldCharType="end"/>
                        </w:r>
                        <w:r>
                          <w:rPr>
                            <w:rFonts w:ascii="Times New Roman" w:hAnsi="Times New Roman"/>
                            <w:sz w:val="22"/>
                            <w:szCs w:val="22"/>
                          </w:rPr>
                          <w:t>-</w:t>
                        </w:r>
                      </w:p>
                    </w:sdtContent>
                  </w:sdt>
                  <w:p w14:paraId="691467D7">
                    <w:pPr>
                      <w:pStyle w:val="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E30AD">
    <w:pPr>
      <w:pStyle w:val="21"/>
      <w:ind w:left="374"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113A2">
    <w:pPr>
      <w:pStyle w:val="21"/>
      <w:ind w:left="374"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3E3A5">
    <w:pPr>
      <w:pStyle w:val="21"/>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47459980"/>
                          </w:sdtPr>
                          <w:sdtContent>
                            <w:p w14:paraId="637712CD">
                              <w:pPr>
                                <w:pStyle w:val="21"/>
                                <w:ind w:firstLine="360"/>
                                <w:jc w:val="center"/>
                              </w:pPr>
                              <w:r>
                                <w:rPr>
                                  <w:rFonts w:ascii="Times New Roman" w:hAnsi="Times New Roman"/>
                                  <w:sz w:val="22"/>
                                  <w:szCs w:val="22"/>
                                </w:rPr>
                                <w:t>-</w:t>
                              </w:r>
                              <w:r>
                                <w:rPr>
                                  <w:rFonts w:ascii="Times New Roman" w:hAnsi="Times New Roman"/>
                                  <w:sz w:val="22"/>
                                  <w:szCs w:val="22"/>
                                </w:rPr>
                                <w:fldChar w:fldCharType="begin"/>
                              </w:r>
                              <w:r>
                                <w:rPr>
                                  <w:rFonts w:ascii="Times New Roman" w:hAnsi="Times New Roman"/>
                                  <w:sz w:val="22"/>
                                  <w:szCs w:val="22"/>
                                </w:rPr>
                                <w:instrText xml:space="preserve"> PAGE   \* MERGEFORMAT </w:instrText>
                              </w:r>
                              <w:r>
                                <w:rPr>
                                  <w:rFonts w:ascii="Times New Roman" w:hAnsi="Times New Roman"/>
                                  <w:sz w:val="22"/>
                                  <w:szCs w:val="22"/>
                                </w:rPr>
                                <w:fldChar w:fldCharType="separate"/>
                              </w:r>
                              <w:r>
                                <w:rPr>
                                  <w:rFonts w:ascii="Times New Roman" w:hAnsi="Times New Roman"/>
                                  <w:sz w:val="22"/>
                                  <w:szCs w:val="22"/>
                                  <w:lang w:val="zh-CN"/>
                                </w:rPr>
                                <w:t>I</w:t>
                              </w:r>
                              <w:r>
                                <w:rPr>
                                  <w:rFonts w:ascii="Times New Roman" w:hAnsi="Times New Roman"/>
                                  <w:sz w:val="22"/>
                                  <w:szCs w:val="22"/>
                                </w:rPr>
                                <w:fldChar w:fldCharType="end"/>
                              </w:r>
                              <w:r>
                                <w:rPr>
                                  <w:rFonts w:ascii="Times New Roman" w:hAnsi="Times New Roman"/>
                                  <w:sz w:val="22"/>
                                  <w:szCs w:val="22"/>
                                </w:rPr>
                                <w:t>-</w:t>
                              </w:r>
                            </w:p>
                          </w:sdtContent>
                        </w:sdt>
                        <w:p w14:paraId="1B23F0A6">
                          <w:pPr>
                            <w:pStyle w:val="2"/>
                          </w:pP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6QKcsBAACc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W+kCnLAQAAnAMAAA4AAAAAAAAAAQAgAAAAHgEAAGRycy9lMm9E&#10;b2MueG1sUEsFBgAAAAAGAAYAWQEAAFsFAAAAAA==&#10;">
              <v:fill on="f" focussize="0,0"/>
              <v:stroke on="f"/>
              <v:imagedata o:title=""/>
              <o:lock v:ext="edit" aspectratio="f"/>
              <v:textbox inset="0mm,0mm,0mm,0mm" style="mso-fit-shape-to-text:t;">
                <w:txbxContent>
                  <w:sdt>
                    <w:sdtPr>
                      <w:id w:val="147459980"/>
                    </w:sdtPr>
                    <w:sdtContent>
                      <w:p w14:paraId="637712CD">
                        <w:pPr>
                          <w:pStyle w:val="21"/>
                          <w:ind w:firstLine="360"/>
                          <w:jc w:val="center"/>
                        </w:pPr>
                        <w:r>
                          <w:rPr>
                            <w:rFonts w:ascii="Times New Roman" w:hAnsi="Times New Roman"/>
                            <w:sz w:val="22"/>
                            <w:szCs w:val="22"/>
                          </w:rPr>
                          <w:t>-</w:t>
                        </w:r>
                        <w:r>
                          <w:rPr>
                            <w:rFonts w:ascii="Times New Roman" w:hAnsi="Times New Roman"/>
                            <w:sz w:val="22"/>
                            <w:szCs w:val="22"/>
                          </w:rPr>
                          <w:fldChar w:fldCharType="begin"/>
                        </w:r>
                        <w:r>
                          <w:rPr>
                            <w:rFonts w:ascii="Times New Roman" w:hAnsi="Times New Roman"/>
                            <w:sz w:val="22"/>
                            <w:szCs w:val="22"/>
                          </w:rPr>
                          <w:instrText xml:space="preserve"> PAGE   \* MERGEFORMAT </w:instrText>
                        </w:r>
                        <w:r>
                          <w:rPr>
                            <w:rFonts w:ascii="Times New Roman" w:hAnsi="Times New Roman"/>
                            <w:sz w:val="22"/>
                            <w:szCs w:val="22"/>
                          </w:rPr>
                          <w:fldChar w:fldCharType="separate"/>
                        </w:r>
                        <w:r>
                          <w:rPr>
                            <w:rFonts w:ascii="Times New Roman" w:hAnsi="Times New Roman"/>
                            <w:sz w:val="22"/>
                            <w:szCs w:val="22"/>
                            <w:lang w:val="zh-CN"/>
                          </w:rPr>
                          <w:t>I</w:t>
                        </w:r>
                        <w:r>
                          <w:rPr>
                            <w:rFonts w:ascii="Times New Roman" w:hAnsi="Times New Roman"/>
                            <w:sz w:val="22"/>
                            <w:szCs w:val="22"/>
                          </w:rPr>
                          <w:fldChar w:fldCharType="end"/>
                        </w:r>
                        <w:r>
                          <w:rPr>
                            <w:rFonts w:ascii="Times New Roman" w:hAnsi="Times New Roman"/>
                            <w:sz w:val="22"/>
                            <w:szCs w:val="22"/>
                          </w:rPr>
                          <w:t>-</w:t>
                        </w:r>
                      </w:p>
                    </w:sdtContent>
                  </w:sdt>
                  <w:p w14:paraId="1B23F0A6">
                    <w:pPr>
                      <w:pStyle w:val="2"/>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B8ADF">
    <w:pPr>
      <w:pStyle w:val="21"/>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022F1">
    <w:pPr>
      <w:pStyle w:val="22"/>
      <w:pBdr>
        <w:bottom w:val="none" w:color="auto" w:sz="0" w:space="0"/>
      </w:pBdr>
      <w:spacing w:line="240" w:lineRule="exact"/>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8B639">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A371D">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6FF73">
    <w:pPr>
      <w:pStyle w:val="2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B1FF5">
    <w:pPr>
      <w:pStyle w:val="22"/>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FF753">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9C8807"/>
    <w:multiLevelType w:val="singleLevel"/>
    <w:tmpl w:val="D09C8807"/>
    <w:lvl w:ilvl="0" w:tentative="0">
      <w:start w:val="2"/>
      <w:numFmt w:val="decimal"/>
      <w:suff w:val="nothing"/>
      <w:lvlText w:val="（%1）"/>
      <w:lvlJc w:val="left"/>
    </w:lvl>
  </w:abstractNum>
  <w:abstractNum w:abstractNumId="1">
    <w:nsid w:val="DDCE7F6F"/>
    <w:multiLevelType w:val="singleLevel"/>
    <w:tmpl w:val="DDCE7F6F"/>
    <w:lvl w:ilvl="0" w:tentative="0">
      <w:start w:val="1"/>
      <w:numFmt w:val="chineseCounting"/>
      <w:suff w:val="nothing"/>
      <w:lvlText w:val="（%1）"/>
      <w:lvlJc w:val="left"/>
      <w:rPr>
        <w:rFonts w:hint="eastAsia"/>
      </w:rPr>
    </w:lvl>
  </w:abstractNum>
  <w:abstractNum w:abstractNumId="2">
    <w:nsid w:val="ECC2DB32"/>
    <w:multiLevelType w:val="singleLevel"/>
    <w:tmpl w:val="ECC2DB32"/>
    <w:lvl w:ilvl="0" w:tentative="0">
      <w:start w:val="1"/>
      <w:numFmt w:val="decimal"/>
      <w:suff w:val="space"/>
      <w:lvlText w:val="%1."/>
      <w:lvlJc w:val="left"/>
    </w:lvl>
  </w:abstractNum>
  <w:abstractNum w:abstractNumId="3">
    <w:nsid w:val="FAF5F815"/>
    <w:multiLevelType w:val="singleLevel"/>
    <w:tmpl w:val="FAF5F815"/>
    <w:lvl w:ilvl="0" w:tentative="0">
      <w:start w:val="1"/>
      <w:numFmt w:val="decimal"/>
      <w:lvlText w:val="%1."/>
      <w:lvlJc w:val="left"/>
      <w:pPr>
        <w:tabs>
          <w:tab w:val="left" w:pos="312"/>
        </w:tabs>
      </w:pPr>
    </w:lvl>
  </w:abstractNum>
  <w:abstractNum w:abstractNumId="4">
    <w:nsid w:val="1A73DBA4"/>
    <w:multiLevelType w:val="singleLevel"/>
    <w:tmpl w:val="1A73DBA4"/>
    <w:lvl w:ilvl="0" w:tentative="0">
      <w:start w:val="2"/>
      <w:numFmt w:val="decimal"/>
      <w:suff w:val="space"/>
      <w:lvlText w:val="%1."/>
      <w:lvlJc w:val="left"/>
    </w:lvl>
  </w:abstractNum>
  <w:abstractNum w:abstractNumId="5">
    <w:nsid w:val="61064AF5"/>
    <w:multiLevelType w:val="singleLevel"/>
    <w:tmpl w:val="61064AF5"/>
    <w:lvl w:ilvl="0" w:tentative="0">
      <w:start w:val="1"/>
      <w:numFmt w:val="decimal"/>
      <w:suff w:val="nothing"/>
      <w:lvlText w:val="%1、"/>
      <w:lvlJc w:val="left"/>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hMTdkNjZhYTg1OTRhOGQ5NmU1OTFmZjdkNDcxNDQifQ=="/>
  </w:docVars>
  <w:rsids>
    <w:rsidRoot w:val="00172A27"/>
    <w:rsid w:val="000002F0"/>
    <w:rsid w:val="000006EC"/>
    <w:rsid w:val="00004D74"/>
    <w:rsid w:val="00006F46"/>
    <w:rsid w:val="0000786C"/>
    <w:rsid w:val="00007A3F"/>
    <w:rsid w:val="000108A1"/>
    <w:rsid w:val="000113FB"/>
    <w:rsid w:val="000125D3"/>
    <w:rsid w:val="00016AA0"/>
    <w:rsid w:val="00016F95"/>
    <w:rsid w:val="00017930"/>
    <w:rsid w:val="0002088A"/>
    <w:rsid w:val="00021D81"/>
    <w:rsid w:val="0002303F"/>
    <w:rsid w:val="00024A03"/>
    <w:rsid w:val="00026F3D"/>
    <w:rsid w:val="000307EE"/>
    <w:rsid w:val="00032850"/>
    <w:rsid w:val="00033267"/>
    <w:rsid w:val="000334AF"/>
    <w:rsid w:val="0003444D"/>
    <w:rsid w:val="00034BA2"/>
    <w:rsid w:val="00035970"/>
    <w:rsid w:val="00036C77"/>
    <w:rsid w:val="00037121"/>
    <w:rsid w:val="0004040E"/>
    <w:rsid w:val="000415F8"/>
    <w:rsid w:val="000417AB"/>
    <w:rsid w:val="00043844"/>
    <w:rsid w:val="00043986"/>
    <w:rsid w:val="000455B5"/>
    <w:rsid w:val="00051465"/>
    <w:rsid w:val="00052B94"/>
    <w:rsid w:val="00052D21"/>
    <w:rsid w:val="00052D34"/>
    <w:rsid w:val="000537A3"/>
    <w:rsid w:val="00053877"/>
    <w:rsid w:val="00053AF1"/>
    <w:rsid w:val="00053FA5"/>
    <w:rsid w:val="00054B96"/>
    <w:rsid w:val="00054CE8"/>
    <w:rsid w:val="00055FB1"/>
    <w:rsid w:val="00056414"/>
    <w:rsid w:val="000578CA"/>
    <w:rsid w:val="00060E69"/>
    <w:rsid w:val="00061B40"/>
    <w:rsid w:val="00062328"/>
    <w:rsid w:val="00062D94"/>
    <w:rsid w:val="000633D0"/>
    <w:rsid w:val="0006513F"/>
    <w:rsid w:val="00065937"/>
    <w:rsid w:val="000676FC"/>
    <w:rsid w:val="000678E0"/>
    <w:rsid w:val="00067BD5"/>
    <w:rsid w:val="00067E42"/>
    <w:rsid w:val="00067FD5"/>
    <w:rsid w:val="000753F2"/>
    <w:rsid w:val="0007565F"/>
    <w:rsid w:val="000775BF"/>
    <w:rsid w:val="00077607"/>
    <w:rsid w:val="00077686"/>
    <w:rsid w:val="0007785B"/>
    <w:rsid w:val="0008025C"/>
    <w:rsid w:val="000806D8"/>
    <w:rsid w:val="00080823"/>
    <w:rsid w:val="00081004"/>
    <w:rsid w:val="00081CC3"/>
    <w:rsid w:val="00081DF4"/>
    <w:rsid w:val="00082B7F"/>
    <w:rsid w:val="00083D4E"/>
    <w:rsid w:val="00084989"/>
    <w:rsid w:val="00085B52"/>
    <w:rsid w:val="00085D57"/>
    <w:rsid w:val="0008683A"/>
    <w:rsid w:val="000875F4"/>
    <w:rsid w:val="000879E1"/>
    <w:rsid w:val="00091453"/>
    <w:rsid w:val="000956C7"/>
    <w:rsid w:val="00095EB2"/>
    <w:rsid w:val="0009648F"/>
    <w:rsid w:val="000A1058"/>
    <w:rsid w:val="000A107D"/>
    <w:rsid w:val="000A1861"/>
    <w:rsid w:val="000A1BDA"/>
    <w:rsid w:val="000A2135"/>
    <w:rsid w:val="000A23B5"/>
    <w:rsid w:val="000A25C3"/>
    <w:rsid w:val="000A3399"/>
    <w:rsid w:val="000A5344"/>
    <w:rsid w:val="000A5A74"/>
    <w:rsid w:val="000A66B1"/>
    <w:rsid w:val="000A7499"/>
    <w:rsid w:val="000A797F"/>
    <w:rsid w:val="000A7E52"/>
    <w:rsid w:val="000B120F"/>
    <w:rsid w:val="000B7E83"/>
    <w:rsid w:val="000C0463"/>
    <w:rsid w:val="000C242F"/>
    <w:rsid w:val="000C4063"/>
    <w:rsid w:val="000C47B7"/>
    <w:rsid w:val="000C6D90"/>
    <w:rsid w:val="000C71FB"/>
    <w:rsid w:val="000D06C9"/>
    <w:rsid w:val="000D078F"/>
    <w:rsid w:val="000D0A1A"/>
    <w:rsid w:val="000D44BE"/>
    <w:rsid w:val="000D4A15"/>
    <w:rsid w:val="000D4AB1"/>
    <w:rsid w:val="000D4D79"/>
    <w:rsid w:val="000D4E95"/>
    <w:rsid w:val="000E01F1"/>
    <w:rsid w:val="000E0439"/>
    <w:rsid w:val="000E0E56"/>
    <w:rsid w:val="000E168E"/>
    <w:rsid w:val="000E174E"/>
    <w:rsid w:val="000E1D10"/>
    <w:rsid w:val="000E2486"/>
    <w:rsid w:val="000E453D"/>
    <w:rsid w:val="000E62B8"/>
    <w:rsid w:val="000E639B"/>
    <w:rsid w:val="000F255A"/>
    <w:rsid w:val="000F3DA6"/>
    <w:rsid w:val="000F4877"/>
    <w:rsid w:val="000F5B8D"/>
    <w:rsid w:val="000F5D7A"/>
    <w:rsid w:val="000F7B99"/>
    <w:rsid w:val="000F7BE1"/>
    <w:rsid w:val="000F7C58"/>
    <w:rsid w:val="000F7CBC"/>
    <w:rsid w:val="0010153E"/>
    <w:rsid w:val="00101968"/>
    <w:rsid w:val="00103C93"/>
    <w:rsid w:val="00103D12"/>
    <w:rsid w:val="00103F2A"/>
    <w:rsid w:val="00104515"/>
    <w:rsid w:val="001048B4"/>
    <w:rsid w:val="00105C74"/>
    <w:rsid w:val="00106670"/>
    <w:rsid w:val="00106D01"/>
    <w:rsid w:val="00110677"/>
    <w:rsid w:val="00110EDB"/>
    <w:rsid w:val="00110F41"/>
    <w:rsid w:val="001128F6"/>
    <w:rsid w:val="0011346F"/>
    <w:rsid w:val="00114987"/>
    <w:rsid w:val="001150D3"/>
    <w:rsid w:val="00115AC9"/>
    <w:rsid w:val="001161C0"/>
    <w:rsid w:val="001162FE"/>
    <w:rsid w:val="0011738F"/>
    <w:rsid w:val="00117B37"/>
    <w:rsid w:val="00120F14"/>
    <w:rsid w:val="00121080"/>
    <w:rsid w:val="0012146D"/>
    <w:rsid w:val="0012240C"/>
    <w:rsid w:val="00122F19"/>
    <w:rsid w:val="0012392A"/>
    <w:rsid w:val="001239A8"/>
    <w:rsid w:val="001256D4"/>
    <w:rsid w:val="0012756C"/>
    <w:rsid w:val="00130136"/>
    <w:rsid w:val="00132309"/>
    <w:rsid w:val="00132E17"/>
    <w:rsid w:val="00132E69"/>
    <w:rsid w:val="00134C7A"/>
    <w:rsid w:val="00136241"/>
    <w:rsid w:val="001364A8"/>
    <w:rsid w:val="00137C6C"/>
    <w:rsid w:val="001420DA"/>
    <w:rsid w:val="00142822"/>
    <w:rsid w:val="00144068"/>
    <w:rsid w:val="00144687"/>
    <w:rsid w:val="00144BCB"/>
    <w:rsid w:val="00144FCB"/>
    <w:rsid w:val="001451CB"/>
    <w:rsid w:val="001455C8"/>
    <w:rsid w:val="00146939"/>
    <w:rsid w:val="001470C3"/>
    <w:rsid w:val="00151636"/>
    <w:rsid w:val="00151989"/>
    <w:rsid w:val="00151B61"/>
    <w:rsid w:val="00153E67"/>
    <w:rsid w:val="0015639E"/>
    <w:rsid w:val="001579E7"/>
    <w:rsid w:val="00157E80"/>
    <w:rsid w:val="001602A9"/>
    <w:rsid w:val="0016058A"/>
    <w:rsid w:val="00160F7A"/>
    <w:rsid w:val="001629BE"/>
    <w:rsid w:val="00162A86"/>
    <w:rsid w:val="0016594B"/>
    <w:rsid w:val="0016625C"/>
    <w:rsid w:val="00166DCD"/>
    <w:rsid w:val="00167009"/>
    <w:rsid w:val="0017069F"/>
    <w:rsid w:val="001706AE"/>
    <w:rsid w:val="001709AA"/>
    <w:rsid w:val="001716B6"/>
    <w:rsid w:val="00172BA5"/>
    <w:rsid w:val="00173BFF"/>
    <w:rsid w:val="00176AA6"/>
    <w:rsid w:val="001775D3"/>
    <w:rsid w:val="0018151F"/>
    <w:rsid w:val="00181F0E"/>
    <w:rsid w:val="001835D3"/>
    <w:rsid w:val="0018443C"/>
    <w:rsid w:val="00185E7D"/>
    <w:rsid w:val="00186057"/>
    <w:rsid w:val="00186B73"/>
    <w:rsid w:val="00187EBA"/>
    <w:rsid w:val="00191907"/>
    <w:rsid w:val="00192438"/>
    <w:rsid w:val="001930E6"/>
    <w:rsid w:val="0019410E"/>
    <w:rsid w:val="00194C83"/>
    <w:rsid w:val="0019666C"/>
    <w:rsid w:val="00197961"/>
    <w:rsid w:val="001A000F"/>
    <w:rsid w:val="001A168B"/>
    <w:rsid w:val="001A23DE"/>
    <w:rsid w:val="001A3223"/>
    <w:rsid w:val="001A3720"/>
    <w:rsid w:val="001A38D5"/>
    <w:rsid w:val="001A3D1E"/>
    <w:rsid w:val="001A6849"/>
    <w:rsid w:val="001B00D3"/>
    <w:rsid w:val="001B0595"/>
    <w:rsid w:val="001B1088"/>
    <w:rsid w:val="001B1089"/>
    <w:rsid w:val="001B11E5"/>
    <w:rsid w:val="001B1600"/>
    <w:rsid w:val="001B42F8"/>
    <w:rsid w:val="001B55E6"/>
    <w:rsid w:val="001B673C"/>
    <w:rsid w:val="001B6812"/>
    <w:rsid w:val="001B6823"/>
    <w:rsid w:val="001B745E"/>
    <w:rsid w:val="001B7EF9"/>
    <w:rsid w:val="001C01C0"/>
    <w:rsid w:val="001C3824"/>
    <w:rsid w:val="001C45D6"/>
    <w:rsid w:val="001C485A"/>
    <w:rsid w:val="001C5133"/>
    <w:rsid w:val="001C60FC"/>
    <w:rsid w:val="001C748D"/>
    <w:rsid w:val="001C79D0"/>
    <w:rsid w:val="001D15A3"/>
    <w:rsid w:val="001D1912"/>
    <w:rsid w:val="001D2117"/>
    <w:rsid w:val="001D2709"/>
    <w:rsid w:val="001D2EAD"/>
    <w:rsid w:val="001D4864"/>
    <w:rsid w:val="001E083E"/>
    <w:rsid w:val="001E271F"/>
    <w:rsid w:val="001E395C"/>
    <w:rsid w:val="001E6954"/>
    <w:rsid w:val="001E7B13"/>
    <w:rsid w:val="001E7E84"/>
    <w:rsid w:val="001F0767"/>
    <w:rsid w:val="001F08AF"/>
    <w:rsid w:val="001F0931"/>
    <w:rsid w:val="001F130C"/>
    <w:rsid w:val="001F1A1E"/>
    <w:rsid w:val="001F297F"/>
    <w:rsid w:val="001F42A9"/>
    <w:rsid w:val="001F58AD"/>
    <w:rsid w:val="001F6AC8"/>
    <w:rsid w:val="001F76A6"/>
    <w:rsid w:val="00201B55"/>
    <w:rsid w:val="00202A2B"/>
    <w:rsid w:val="00203F0E"/>
    <w:rsid w:val="0020649D"/>
    <w:rsid w:val="00206A06"/>
    <w:rsid w:val="00210D0A"/>
    <w:rsid w:val="002122BB"/>
    <w:rsid w:val="00212E4E"/>
    <w:rsid w:val="00216454"/>
    <w:rsid w:val="00216CD2"/>
    <w:rsid w:val="0021779B"/>
    <w:rsid w:val="002216B8"/>
    <w:rsid w:val="00223796"/>
    <w:rsid w:val="00223A30"/>
    <w:rsid w:val="002246FC"/>
    <w:rsid w:val="00224C2C"/>
    <w:rsid w:val="002270F6"/>
    <w:rsid w:val="00231109"/>
    <w:rsid w:val="00231CCB"/>
    <w:rsid w:val="002322D2"/>
    <w:rsid w:val="002339BC"/>
    <w:rsid w:val="00234B86"/>
    <w:rsid w:val="00237E5B"/>
    <w:rsid w:val="0024037F"/>
    <w:rsid w:val="00242EF2"/>
    <w:rsid w:val="00244C92"/>
    <w:rsid w:val="00244DBD"/>
    <w:rsid w:val="00245280"/>
    <w:rsid w:val="0024546B"/>
    <w:rsid w:val="00246220"/>
    <w:rsid w:val="00246AE8"/>
    <w:rsid w:val="00247BD0"/>
    <w:rsid w:val="00251368"/>
    <w:rsid w:val="00254EDD"/>
    <w:rsid w:val="00256B4B"/>
    <w:rsid w:val="00257978"/>
    <w:rsid w:val="002604DC"/>
    <w:rsid w:val="002659A1"/>
    <w:rsid w:val="00266906"/>
    <w:rsid w:val="00270C8E"/>
    <w:rsid w:val="00273410"/>
    <w:rsid w:val="00273938"/>
    <w:rsid w:val="00274437"/>
    <w:rsid w:val="0027451E"/>
    <w:rsid w:val="0027452F"/>
    <w:rsid w:val="00274E9E"/>
    <w:rsid w:val="0027517C"/>
    <w:rsid w:val="00275F9E"/>
    <w:rsid w:val="00276D2C"/>
    <w:rsid w:val="00277224"/>
    <w:rsid w:val="00277A94"/>
    <w:rsid w:val="0028008E"/>
    <w:rsid w:val="002807A7"/>
    <w:rsid w:val="00280A0B"/>
    <w:rsid w:val="00281CE5"/>
    <w:rsid w:val="00282F63"/>
    <w:rsid w:val="0028321E"/>
    <w:rsid w:val="00283865"/>
    <w:rsid w:val="002839F8"/>
    <w:rsid w:val="00284B6E"/>
    <w:rsid w:val="00284CA1"/>
    <w:rsid w:val="002852A9"/>
    <w:rsid w:val="002858DA"/>
    <w:rsid w:val="00287416"/>
    <w:rsid w:val="0028765E"/>
    <w:rsid w:val="00290208"/>
    <w:rsid w:val="00291239"/>
    <w:rsid w:val="002914C1"/>
    <w:rsid w:val="00292A35"/>
    <w:rsid w:val="00292EFA"/>
    <w:rsid w:val="002933E2"/>
    <w:rsid w:val="00297279"/>
    <w:rsid w:val="002A34A5"/>
    <w:rsid w:val="002A3DF6"/>
    <w:rsid w:val="002A51C4"/>
    <w:rsid w:val="002A76F2"/>
    <w:rsid w:val="002B1143"/>
    <w:rsid w:val="002B1F22"/>
    <w:rsid w:val="002B31B3"/>
    <w:rsid w:val="002B46A8"/>
    <w:rsid w:val="002B49DE"/>
    <w:rsid w:val="002B4ECC"/>
    <w:rsid w:val="002B5856"/>
    <w:rsid w:val="002B5A1B"/>
    <w:rsid w:val="002B61D6"/>
    <w:rsid w:val="002C05FB"/>
    <w:rsid w:val="002C1958"/>
    <w:rsid w:val="002C3DB0"/>
    <w:rsid w:val="002C4C06"/>
    <w:rsid w:val="002C5B40"/>
    <w:rsid w:val="002C5DB4"/>
    <w:rsid w:val="002C61F3"/>
    <w:rsid w:val="002C626D"/>
    <w:rsid w:val="002C6DFA"/>
    <w:rsid w:val="002C7233"/>
    <w:rsid w:val="002C7385"/>
    <w:rsid w:val="002C74FE"/>
    <w:rsid w:val="002D216E"/>
    <w:rsid w:val="002D25D8"/>
    <w:rsid w:val="002D33A2"/>
    <w:rsid w:val="002D5AC8"/>
    <w:rsid w:val="002D5F16"/>
    <w:rsid w:val="002D6E56"/>
    <w:rsid w:val="002D7A07"/>
    <w:rsid w:val="002E02C3"/>
    <w:rsid w:val="002E2D25"/>
    <w:rsid w:val="002E348B"/>
    <w:rsid w:val="002E3AF8"/>
    <w:rsid w:val="002E4A4F"/>
    <w:rsid w:val="002E59F7"/>
    <w:rsid w:val="002E5F8F"/>
    <w:rsid w:val="002E6573"/>
    <w:rsid w:val="002F0167"/>
    <w:rsid w:val="002F24F1"/>
    <w:rsid w:val="002F30BA"/>
    <w:rsid w:val="002F321E"/>
    <w:rsid w:val="002F480D"/>
    <w:rsid w:val="002F4F8A"/>
    <w:rsid w:val="002F6A8C"/>
    <w:rsid w:val="002F6E46"/>
    <w:rsid w:val="0030036E"/>
    <w:rsid w:val="003006E9"/>
    <w:rsid w:val="00300789"/>
    <w:rsid w:val="003007FA"/>
    <w:rsid w:val="003028EA"/>
    <w:rsid w:val="003057FD"/>
    <w:rsid w:val="0030634E"/>
    <w:rsid w:val="00310AE3"/>
    <w:rsid w:val="00311000"/>
    <w:rsid w:val="00311500"/>
    <w:rsid w:val="00312B37"/>
    <w:rsid w:val="003132B5"/>
    <w:rsid w:val="003139F0"/>
    <w:rsid w:val="0031454E"/>
    <w:rsid w:val="00314D10"/>
    <w:rsid w:val="00314E9B"/>
    <w:rsid w:val="00314F49"/>
    <w:rsid w:val="003159F6"/>
    <w:rsid w:val="00317A59"/>
    <w:rsid w:val="003210BF"/>
    <w:rsid w:val="0032215C"/>
    <w:rsid w:val="0032238A"/>
    <w:rsid w:val="00322D92"/>
    <w:rsid w:val="0032401C"/>
    <w:rsid w:val="003244D6"/>
    <w:rsid w:val="00324E1A"/>
    <w:rsid w:val="0032612A"/>
    <w:rsid w:val="00326F7F"/>
    <w:rsid w:val="00326FC9"/>
    <w:rsid w:val="00327145"/>
    <w:rsid w:val="00327427"/>
    <w:rsid w:val="00331CEF"/>
    <w:rsid w:val="003328B9"/>
    <w:rsid w:val="00332A97"/>
    <w:rsid w:val="00333120"/>
    <w:rsid w:val="00334818"/>
    <w:rsid w:val="00334C7D"/>
    <w:rsid w:val="003350AF"/>
    <w:rsid w:val="00335C7C"/>
    <w:rsid w:val="00337586"/>
    <w:rsid w:val="00341264"/>
    <w:rsid w:val="003413F2"/>
    <w:rsid w:val="003418BD"/>
    <w:rsid w:val="0034270D"/>
    <w:rsid w:val="00343414"/>
    <w:rsid w:val="00345F96"/>
    <w:rsid w:val="00350539"/>
    <w:rsid w:val="00350623"/>
    <w:rsid w:val="003508BC"/>
    <w:rsid w:val="003529A1"/>
    <w:rsid w:val="003534DF"/>
    <w:rsid w:val="00354B5B"/>
    <w:rsid w:val="0035508A"/>
    <w:rsid w:val="00355552"/>
    <w:rsid w:val="003558FA"/>
    <w:rsid w:val="00356D89"/>
    <w:rsid w:val="00357018"/>
    <w:rsid w:val="00357FA4"/>
    <w:rsid w:val="003605E2"/>
    <w:rsid w:val="00360ACB"/>
    <w:rsid w:val="00361203"/>
    <w:rsid w:val="00361C32"/>
    <w:rsid w:val="00362BBF"/>
    <w:rsid w:val="003640E7"/>
    <w:rsid w:val="003645C9"/>
    <w:rsid w:val="00364A3F"/>
    <w:rsid w:val="00364ACB"/>
    <w:rsid w:val="003662E9"/>
    <w:rsid w:val="003669E4"/>
    <w:rsid w:val="00370B45"/>
    <w:rsid w:val="00370E34"/>
    <w:rsid w:val="00370E62"/>
    <w:rsid w:val="00370F88"/>
    <w:rsid w:val="003710D3"/>
    <w:rsid w:val="00374C5D"/>
    <w:rsid w:val="00376157"/>
    <w:rsid w:val="00380492"/>
    <w:rsid w:val="003812E9"/>
    <w:rsid w:val="00382111"/>
    <w:rsid w:val="00382138"/>
    <w:rsid w:val="00384697"/>
    <w:rsid w:val="00385E20"/>
    <w:rsid w:val="003861CC"/>
    <w:rsid w:val="003869F7"/>
    <w:rsid w:val="003902DF"/>
    <w:rsid w:val="00391C80"/>
    <w:rsid w:val="00392213"/>
    <w:rsid w:val="00392955"/>
    <w:rsid w:val="0039296F"/>
    <w:rsid w:val="00392AD6"/>
    <w:rsid w:val="00393D3C"/>
    <w:rsid w:val="00393D7B"/>
    <w:rsid w:val="003949B4"/>
    <w:rsid w:val="00395055"/>
    <w:rsid w:val="003952A2"/>
    <w:rsid w:val="00395493"/>
    <w:rsid w:val="00395824"/>
    <w:rsid w:val="00395E69"/>
    <w:rsid w:val="00395F0B"/>
    <w:rsid w:val="00395FD4"/>
    <w:rsid w:val="00397CFD"/>
    <w:rsid w:val="003A070C"/>
    <w:rsid w:val="003A2437"/>
    <w:rsid w:val="003A2505"/>
    <w:rsid w:val="003A32F7"/>
    <w:rsid w:val="003A379A"/>
    <w:rsid w:val="003A3D64"/>
    <w:rsid w:val="003A40EF"/>
    <w:rsid w:val="003A453B"/>
    <w:rsid w:val="003A5364"/>
    <w:rsid w:val="003A644B"/>
    <w:rsid w:val="003A66C1"/>
    <w:rsid w:val="003B328E"/>
    <w:rsid w:val="003B3750"/>
    <w:rsid w:val="003B4B6E"/>
    <w:rsid w:val="003B56A2"/>
    <w:rsid w:val="003B661A"/>
    <w:rsid w:val="003B767B"/>
    <w:rsid w:val="003C05FB"/>
    <w:rsid w:val="003C0B6E"/>
    <w:rsid w:val="003C1A03"/>
    <w:rsid w:val="003C1CDB"/>
    <w:rsid w:val="003C1E00"/>
    <w:rsid w:val="003C2020"/>
    <w:rsid w:val="003C261F"/>
    <w:rsid w:val="003C2A06"/>
    <w:rsid w:val="003C2AD4"/>
    <w:rsid w:val="003C3027"/>
    <w:rsid w:val="003C3814"/>
    <w:rsid w:val="003C3BB5"/>
    <w:rsid w:val="003C3C87"/>
    <w:rsid w:val="003C42FF"/>
    <w:rsid w:val="003C4A55"/>
    <w:rsid w:val="003C6302"/>
    <w:rsid w:val="003C6A89"/>
    <w:rsid w:val="003C7B8B"/>
    <w:rsid w:val="003D0209"/>
    <w:rsid w:val="003D04AD"/>
    <w:rsid w:val="003D0C5A"/>
    <w:rsid w:val="003D0EF2"/>
    <w:rsid w:val="003D1038"/>
    <w:rsid w:val="003D1B18"/>
    <w:rsid w:val="003D3980"/>
    <w:rsid w:val="003D3A5F"/>
    <w:rsid w:val="003D3BEE"/>
    <w:rsid w:val="003D6191"/>
    <w:rsid w:val="003D7C3D"/>
    <w:rsid w:val="003E03E9"/>
    <w:rsid w:val="003E217B"/>
    <w:rsid w:val="003E2A38"/>
    <w:rsid w:val="003E346E"/>
    <w:rsid w:val="003E38F5"/>
    <w:rsid w:val="003E4610"/>
    <w:rsid w:val="003E5D8F"/>
    <w:rsid w:val="003E6271"/>
    <w:rsid w:val="003E6736"/>
    <w:rsid w:val="003E68DE"/>
    <w:rsid w:val="003F3115"/>
    <w:rsid w:val="003F3356"/>
    <w:rsid w:val="003F4876"/>
    <w:rsid w:val="003F53EB"/>
    <w:rsid w:val="003F6A72"/>
    <w:rsid w:val="003F6C16"/>
    <w:rsid w:val="003F6C4A"/>
    <w:rsid w:val="003F7B32"/>
    <w:rsid w:val="0040004F"/>
    <w:rsid w:val="0040027A"/>
    <w:rsid w:val="0040240E"/>
    <w:rsid w:val="00402662"/>
    <w:rsid w:val="00402AE3"/>
    <w:rsid w:val="00402B85"/>
    <w:rsid w:val="0040342C"/>
    <w:rsid w:val="004043FF"/>
    <w:rsid w:val="004048E7"/>
    <w:rsid w:val="00407329"/>
    <w:rsid w:val="004107C3"/>
    <w:rsid w:val="004117DA"/>
    <w:rsid w:val="0041215E"/>
    <w:rsid w:val="004128AC"/>
    <w:rsid w:val="004129EB"/>
    <w:rsid w:val="00413198"/>
    <w:rsid w:val="004169B4"/>
    <w:rsid w:val="004172C2"/>
    <w:rsid w:val="00421AE5"/>
    <w:rsid w:val="00421D55"/>
    <w:rsid w:val="00423123"/>
    <w:rsid w:val="00423B36"/>
    <w:rsid w:val="0042436E"/>
    <w:rsid w:val="004252AC"/>
    <w:rsid w:val="0042703F"/>
    <w:rsid w:val="00433C18"/>
    <w:rsid w:val="00433E73"/>
    <w:rsid w:val="004359B5"/>
    <w:rsid w:val="00437518"/>
    <w:rsid w:val="00440282"/>
    <w:rsid w:val="004404CE"/>
    <w:rsid w:val="004429A6"/>
    <w:rsid w:val="00443284"/>
    <w:rsid w:val="00450495"/>
    <w:rsid w:val="004509E3"/>
    <w:rsid w:val="00451215"/>
    <w:rsid w:val="0045183C"/>
    <w:rsid w:val="00452189"/>
    <w:rsid w:val="00453BB4"/>
    <w:rsid w:val="00453DB9"/>
    <w:rsid w:val="00453F45"/>
    <w:rsid w:val="00455D4E"/>
    <w:rsid w:val="0045736E"/>
    <w:rsid w:val="004604EE"/>
    <w:rsid w:val="00461D77"/>
    <w:rsid w:val="00462D3E"/>
    <w:rsid w:val="00463AAB"/>
    <w:rsid w:val="004649FA"/>
    <w:rsid w:val="00464ACD"/>
    <w:rsid w:val="00466B46"/>
    <w:rsid w:val="004670BB"/>
    <w:rsid w:val="00470C7B"/>
    <w:rsid w:val="004715F5"/>
    <w:rsid w:val="00473580"/>
    <w:rsid w:val="004738E6"/>
    <w:rsid w:val="00473C0D"/>
    <w:rsid w:val="00474898"/>
    <w:rsid w:val="004777EF"/>
    <w:rsid w:val="004817F5"/>
    <w:rsid w:val="004820A4"/>
    <w:rsid w:val="00483A6E"/>
    <w:rsid w:val="0048405B"/>
    <w:rsid w:val="00485430"/>
    <w:rsid w:val="004856ED"/>
    <w:rsid w:val="004857A6"/>
    <w:rsid w:val="00485D39"/>
    <w:rsid w:val="00487CE2"/>
    <w:rsid w:val="0049034A"/>
    <w:rsid w:val="0049177E"/>
    <w:rsid w:val="00491FBE"/>
    <w:rsid w:val="004921D4"/>
    <w:rsid w:val="0049251A"/>
    <w:rsid w:val="0049477A"/>
    <w:rsid w:val="00495955"/>
    <w:rsid w:val="004961CF"/>
    <w:rsid w:val="004A183B"/>
    <w:rsid w:val="004A295F"/>
    <w:rsid w:val="004A322E"/>
    <w:rsid w:val="004A44EA"/>
    <w:rsid w:val="004A71EC"/>
    <w:rsid w:val="004A7753"/>
    <w:rsid w:val="004B27EC"/>
    <w:rsid w:val="004B3D9F"/>
    <w:rsid w:val="004B403F"/>
    <w:rsid w:val="004B475D"/>
    <w:rsid w:val="004B51E1"/>
    <w:rsid w:val="004B7507"/>
    <w:rsid w:val="004C2144"/>
    <w:rsid w:val="004C230B"/>
    <w:rsid w:val="004C234A"/>
    <w:rsid w:val="004C3069"/>
    <w:rsid w:val="004C31F4"/>
    <w:rsid w:val="004C364C"/>
    <w:rsid w:val="004C5C1B"/>
    <w:rsid w:val="004C6882"/>
    <w:rsid w:val="004C70A9"/>
    <w:rsid w:val="004D15BA"/>
    <w:rsid w:val="004D1948"/>
    <w:rsid w:val="004D2A65"/>
    <w:rsid w:val="004D2FC7"/>
    <w:rsid w:val="004D394B"/>
    <w:rsid w:val="004D469B"/>
    <w:rsid w:val="004D507C"/>
    <w:rsid w:val="004D5344"/>
    <w:rsid w:val="004D535D"/>
    <w:rsid w:val="004D5492"/>
    <w:rsid w:val="004D5CCE"/>
    <w:rsid w:val="004D6C3B"/>
    <w:rsid w:val="004D7013"/>
    <w:rsid w:val="004D778A"/>
    <w:rsid w:val="004D7A2E"/>
    <w:rsid w:val="004E326F"/>
    <w:rsid w:val="004E4A11"/>
    <w:rsid w:val="004E4B85"/>
    <w:rsid w:val="004E4FA1"/>
    <w:rsid w:val="004E5AAF"/>
    <w:rsid w:val="004E5D9A"/>
    <w:rsid w:val="004E5FDE"/>
    <w:rsid w:val="004E6D18"/>
    <w:rsid w:val="004F10C0"/>
    <w:rsid w:val="004F1581"/>
    <w:rsid w:val="004F194B"/>
    <w:rsid w:val="004F23FB"/>
    <w:rsid w:val="004F31A5"/>
    <w:rsid w:val="004F3C04"/>
    <w:rsid w:val="004F3ED0"/>
    <w:rsid w:val="004F52F4"/>
    <w:rsid w:val="00500404"/>
    <w:rsid w:val="0050093B"/>
    <w:rsid w:val="0050103B"/>
    <w:rsid w:val="005044BB"/>
    <w:rsid w:val="00505678"/>
    <w:rsid w:val="00506C05"/>
    <w:rsid w:val="0050774D"/>
    <w:rsid w:val="00510866"/>
    <w:rsid w:val="00510E2D"/>
    <w:rsid w:val="00512116"/>
    <w:rsid w:val="00517B6E"/>
    <w:rsid w:val="00520E2C"/>
    <w:rsid w:val="00523BF3"/>
    <w:rsid w:val="0052435B"/>
    <w:rsid w:val="00524512"/>
    <w:rsid w:val="00524532"/>
    <w:rsid w:val="00525D39"/>
    <w:rsid w:val="00526B4B"/>
    <w:rsid w:val="00526E3E"/>
    <w:rsid w:val="0052749C"/>
    <w:rsid w:val="005311C6"/>
    <w:rsid w:val="005325A7"/>
    <w:rsid w:val="0053308F"/>
    <w:rsid w:val="005334EE"/>
    <w:rsid w:val="005351FF"/>
    <w:rsid w:val="00535FA6"/>
    <w:rsid w:val="0053677B"/>
    <w:rsid w:val="005406CF"/>
    <w:rsid w:val="0054276C"/>
    <w:rsid w:val="005457AE"/>
    <w:rsid w:val="005459B5"/>
    <w:rsid w:val="00546646"/>
    <w:rsid w:val="00547F97"/>
    <w:rsid w:val="0055031A"/>
    <w:rsid w:val="00550329"/>
    <w:rsid w:val="00551223"/>
    <w:rsid w:val="0055320E"/>
    <w:rsid w:val="00553533"/>
    <w:rsid w:val="00553C85"/>
    <w:rsid w:val="005549EA"/>
    <w:rsid w:val="00555F33"/>
    <w:rsid w:val="005564CF"/>
    <w:rsid w:val="005604B0"/>
    <w:rsid w:val="00561725"/>
    <w:rsid w:val="00562AD5"/>
    <w:rsid w:val="00563034"/>
    <w:rsid w:val="00563624"/>
    <w:rsid w:val="00563F4F"/>
    <w:rsid w:val="00565977"/>
    <w:rsid w:val="005673C6"/>
    <w:rsid w:val="0057184B"/>
    <w:rsid w:val="00571912"/>
    <w:rsid w:val="00571BA9"/>
    <w:rsid w:val="00572892"/>
    <w:rsid w:val="00572EF7"/>
    <w:rsid w:val="00576219"/>
    <w:rsid w:val="005774FE"/>
    <w:rsid w:val="005777B9"/>
    <w:rsid w:val="005814E2"/>
    <w:rsid w:val="00582882"/>
    <w:rsid w:val="00582950"/>
    <w:rsid w:val="005836A7"/>
    <w:rsid w:val="00583807"/>
    <w:rsid w:val="005847C2"/>
    <w:rsid w:val="005853C3"/>
    <w:rsid w:val="0058555F"/>
    <w:rsid w:val="00585B42"/>
    <w:rsid w:val="0058662B"/>
    <w:rsid w:val="00587704"/>
    <w:rsid w:val="00587F44"/>
    <w:rsid w:val="0059008C"/>
    <w:rsid w:val="005904DC"/>
    <w:rsid w:val="0059136F"/>
    <w:rsid w:val="0059196D"/>
    <w:rsid w:val="0059373E"/>
    <w:rsid w:val="005947C0"/>
    <w:rsid w:val="005956A4"/>
    <w:rsid w:val="0059637C"/>
    <w:rsid w:val="005970A6"/>
    <w:rsid w:val="005A0CA7"/>
    <w:rsid w:val="005A2696"/>
    <w:rsid w:val="005A2C2A"/>
    <w:rsid w:val="005A485C"/>
    <w:rsid w:val="005A4F36"/>
    <w:rsid w:val="005A4F4F"/>
    <w:rsid w:val="005A50D4"/>
    <w:rsid w:val="005A55A6"/>
    <w:rsid w:val="005A6061"/>
    <w:rsid w:val="005A625E"/>
    <w:rsid w:val="005A74BC"/>
    <w:rsid w:val="005A76DE"/>
    <w:rsid w:val="005B09C6"/>
    <w:rsid w:val="005B0A25"/>
    <w:rsid w:val="005B0D65"/>
    <w:rsid w:val="005B1A39"/>
    <w:rsid w:val="005B1B9F"/>
    <w:rsid w:val="005B2011"/>
    <w:rsid w:val="005B26D2"/>
    <w:rsid w:val="005B2CDD"/>
    <w:rsid w:val="005B3429"/>
    <w:rsid w:val="005B4859"/>
    <w:rsid w:val="005B48F2"/>
    <w:rsid w:val="005B6CEC"/>
    <w:rsid w:val="005B7733"/>
    <w:rsid w:val="005C045A"/>
    <w:rsid w:val="005C08FB"/>
    <w:rsid w:val="005C0AE2"/>
    <w:rsid w:val="005C0C75"/>
    <w:rsid w:val="005C149C"/>
    <w:rsid w:val="005C3708"/>
    <w:rsid w:val="005C4F66"/>
    <w:rsid w:val="005C61E6"/>
    <w:rsid w:val="005C6981"/>
    <w:rsid w:val="005C6E30"/>
    <w:rsid w:val="005C73A6"/>
    <w:rsid w:val="005D24E5"/>
    <w:rsid w:val="005D3A38"/>
    <w:rsid w:val="005D3DBF"/>
    <w:rsid w:val="005D3E5E"/>
    <w:rsid w:val="005D4054"/>
    <w:rsid w:val="005D5054"/>
    <w:rsid w:val="005D51F7"/>
    <w:rsid w:val="005D5763"/>
    <w:rsid w:val="005D6026"/>
    <w:rsid w:val="005D65A9"/>
    <w:rsid w:val="005D7A2C"/>
    <w:rsid w:val="005E0333"/>
    <w:rsid w:val="005E1514"/>
    <w:rsid w:val="005E1A92"/>
    <w:rsid w:val="005E1B4E"/>
    <w:rsid w:val="005E1D93"/>
    <w:rsid w:val="005E25E0"/>
    <w:rsid w:val="005E2B03"/>
    <w:rsid w:val="005E4616"/>
    <w:rsid w:val="005E5CB8"/>
    <w:rsid w:val="005E639A"/>
    <w:rsid w:val="005E63FC"/>
    <w:rsid w:val="005F018A"/>
    <w:rsid w:val="005F0191"/>
    <w:rsid w:val="005F0700"/>
    <w:rsid w:val="005F1C1C"/>
    <w:rsid w:val="005F1CE2"/>
    <w:rsid w:val="005F1E98"/>
    <w:rsid w:val="005F33AD"/>
    <w:rsid w:val="005F343C"/>
    <w:rsid w:val="005F3803"/>
    <w:rsid w:val="005F44B5"/>
    <w:rsid w:val="005F5183"/>
    <w:rsid w:val="005F5A6A"/>
    <w:rsid w:val="0060044B"/>
    <w:rsid w:val="0060086B"/>
    <w:rsid w:val="006009DA"/>
    <w:rsid w:val="00602962"/>
    <w:rsid w:val="0060361D"/>
    <w:rsid w:val="006036BF"/>
    <w:rsid w:val="00603B90"/>
    <w:rsid w:val="00603FC2"/>
    <w:rsid w:val="00604C00"/>
    <w:rsid w:val="00605891"/>
    <w:rsid w:val="00605CBB"/>
    <w:rsid w:val="00606241"/>
    <w:rsid w:val="00607146"/>
    <w:rsid w:val="00607E7D"/>
    <w:rsid w:val="006115E1"/>
    <w:rsid w:val="00611EA7"/>
    <w:rsid w:val="006151F9"/>
    <w:rsid w:val="00615B4C"/>
    <w:rsid w:val="0061637F"/>
    <w:rsid w:val="00616735"/>
    <w:rsid w:val="006178BD"/>
    <w:rsid w:val="006204B9"/>
    <w:rsid w:val="00620F28"/>
    <w:rsid w:val="00622EB9"/>
    <w:rsid w:val="006236C4"/>
    <w:rsid w:val="00624082"/>
    <w:rsid w:val="006243D6"/>
    <w:rsid w:val="00625AC8"/>
    <w:rsid w:val="00630BF3"/>
    <w:rsid w:val="00631044"/>
    <w:rsid w:val="00631727"/>
    <w:rsid w:val="00633C0D"/>
    <w:rsid w:val="0063467C"/>
    <w:rsid w:val="00634A82"/>
    <w:rsid w:val="00634D73"/>
    <w:rsid w:val="006351CE"/>
    <w:rsid w:val="0063642D"/>
    <w:rsid w:val="00636DFD"/>
    <w:rsid w:val="00637107"/>
    <w:rsid w:val="006379AA"/>
    <w:rsid w:val="0064014B"/>
    <w:rsid w:val="00640EA2"/>
    <w:rsid w:val="00640F66"/>
    <w:rsid w:val="00641543"/>
    <w:rsid w:val="006421C4"/>
    <w:rsid w:val="0064241C"/>
    <w:rsid w:val="006464FB"/>
    <w:rsid w:val="006476D0"/>
    <w:rsid w:val="00647CC0"/>
    <w:rsid w:val="0065169D"/>
    <w:rsid w:val="0065276D"/>
    <w:rsid w:val="00653F35"/>
    <w:rsid w:val="0065437F"/>
    <w:rsid w:val="006544DB"/>
    <w:rsid w:val="00654715"/>
    <w:rsid w:val="00654918"/>
    <w:rsid w:val="00655003"/>
    <w:rsid w:val="00655CF9"/>
    <w:rsid w:val="00655D5F"/>
    <w:rsid w:val="006575E2"/>
    <w:rsid w:val="006577DB"/>
    <w:rsid w:val="00662B44"/>
    <w:rsid w:val="00663558"/>
    <w:rsid w:val="006635A3"/>
    <w:rsid w:val="00663C49"/>
    <w:rsid w:val="006646E3"/>
    <w:rsid w:val="00666BF6"/>
    <w:rsid w:val="00667E92"/>
    <w:rsid w:val="00670711"/>
    <w:rsid w:val="00672CF6"/>
    <w:rsid w:val="00672F47"/>
    <w:rsid w:val="00673903"/>
    <w:rsid w:val="00674F3F"/>
    <w:rsid w:val="006766E2"/>
    <w:rsid w:val="00676E65"/>
    <w:rsid w:val="00681210"/>
    <w:rsid w:val="00681DFE"/>
    <w:rsid w:val="006824BC"/>
    <w:rsid w:val="006828F6"/>
    <w:rsid w:val="00683848"/>
    <w:rsid w:val="0068493E"/>
    <w:rsid w:val="006900C1"/>
    <w:rsid w:val="0069053F"/>
    <w:rsid w:val="00690CDA"/>
    <w:rsid w:val="006922A1"/>
    <w:rsid w:val="0069348A"/>
    <w:rsid w:val="0069365B"/>
    <w:rsid w:val="0069387E"/>
    <w:rsid w:val="00693B8E"/>
    <w:rsid w:val="00694101"/>
    <w:rsid w:val="00694B81"/>
    <w:rsid w:val="00696371"/>
    <w:rsid w:val="00697E7E"/>
    <w:rsid w:val="006A11B4"/>
    <w:rsid w:val="006A3654"/>
    <w:rsid w:val="006A5429"/>
    <w:rsid w:val="006A5810"/>
    <w:rsid w:val="006A5D1F"/>
    <w:rsid w:val="006A6562"/>
    <w:rsid w:val="006A656B"/>
    <w:rsid w:val="006A661E"/>
    <w:rsid w:val="006B02C6"/>
    <w:rsid w:val="006B11A1"/>
    <w:rsid w:val="006B350B"/>
    <w:rsid w:val="006B3AB8"/>
    <w:rsid w:val="006B3F2F"/>
    <w:rsid w:val="006B4049"/>
    <w:rsid w:val="006B451D"/>
    <w:rsid w:val="006B4C73"/>
    <w:rsid w:val="006C1A1A"/>
    <w:rsid w:val="006C1EE8"/>
    <w:rsid w:val="006C2538"/>
    <w:rsid w:val="006C35C6"/>
    <w:rsid w:val="006C3E16"/>
    <w:rsid w:val="006C4697"/>
    <w:rsid w:val="006C508E"/>
    <w:rsid w:val="006D1619"/>
    <w:rsid w:val="006D362C"/>
    <w:rsid w:val="006D3D21"/>
    <w:rsid w:val="006D59A9"/>
    <w:rsid w:val="006D5C39"/>
    <w:rsid w:val="006D6424"/>
    <w:rsid w:val="006D66B1"/>
    <w:rsid w:val="006D6E7A"/>
    <w:rsid w:val="006D7858"/>
    <w:rsid w:val="006E06E0"/>
    <w:rsid w:val="006E16DC"/>
    <w:rsid w:val="006E1C8A"/>
    <w:rsid w:val="006E21F0"/>
    <w:rsid w:val="006E34ED"/>
    <w:rsid w:val="006E3C93"/>
    <w:rsid w:val="006E557E"/>
    <w:rsid w:val="006E5CB1"/>
    <w:rsid w:val="006E6185"/>
    <w:rsid w:val="006E749F"/>
    <w:rsid w:val="006F0A12"/>
    <w:rsid w:val="006F0C4E"/>
    <w:rsid w:val="006F0F15"/>
    <w:rsid w:val="006F11DA"/>
    <w:rsid w:val="006F1839"/>
    <w:rsid w:val="006F24AF"/>
    <w:rsid w:val="006F2845"/>
    <w:rsid w:val="006F2DDF"/>
    <w:rsid w:val="006F3838"/>
    <w:rsid w:val="006F496D"/>
    <w:rsid w:val="006F5F04"/>
    <w:rsid w:val="006F7429"/>
    <w:rsid w:val="007000E4"/>
    <w:rsid w:val="00700317"/>
    <w:rsid w:val="007005A5"/>
    <w:rsid w:val="00700EF9"/>
    <w:rsid w:val="007015CE"/>
    <w:rsid w:val="007025F1"/>
    <w:rsid w:val="00702870"/>
    <w:rsid w:val="007037C2"/>
    <w:rsid w:val="00705982"/>
    <w:rsid w:val="00705E33"/>
    <w:rsid w:val="00706889"/>
    <w:rsid w:val="00710D37"/>
    <w:rsid w:val="00710F85"/>
    <w:rsid w:val="00712918"/>
    <w:rsid w:val="0071406A"/>
    <w:rsid w:val="007149B7"/>
    <w:rsid w:val="00714F80"/>
    <w:rsid w:val="007153BC"/>
    <w:rsid w:val="00715952"/>
    <w:rsid w:val="00716B0F"/>
    <w:rsid w:val="0072022F"/>
    <w:rsid w:val="00720C4A"/>
    <w:rsid w:val="007217CD"/>
    <w:rsid w:val="00723609"/>
    <w:rsid w:val="00725AAD"/>
    <w:rsid w:val="00725B43"/>
    <w:rsid w:val="007263A6"/>
    <w:rsid w:val="007343FE"/>
    <w:rsid w:val="0073483D"/>
    <w:rsid w:val="00734CF7"/>
    <w:rsid w:val="00735988"/>
    <w:rsid w:val="007360A4"/>
    <w:rsid w:val="00736D66"/>
    <w:rsid w:val="00736EA2"/>
    <w:rsid w:val="00737598"/>
    <w:rsid w:val="00737A59"/>
    <w:rsid w:val="00737F0D"/>
    <w:rsid w:val="00740478"/>
    <w:rsid w:val="007410DB"/>
    <w:rsid w:val="007431E0"/>
    <w:rsid w:val="00743819"/>
    <w:rsid w:val="00743827"/>
    <w:rsid w:val="00743979"/>
    <w:rsid w:val="007445D1"/>
    <w:rsid w:val="00744E2A"/>
    <w:rsid w:val="00745754"/>
    <w:rsid w:val="00747E53"/>
    <w:rsid w:val="00750145"/>
    <w:rsid w:val="00750608"/>
    <w:rsid w:val="00752496"/>
    <w:rsid w:val="00753174"/>
    <w:rsid w:val="007533B1"/>
    <w:rsid w:val="00754C18"/>
    <w:rsid w:val="00754F7D"/>
    <w:rsid w:val="00756F45"/>
    <w:rsid w:val="007576DE"/>
    <w:rsid w:val="0076194B"/>
    <w:rsid w:val="00764DF5"/>
    <w:rsid w:val="007653D9"/>
    <w:rsid w:val="00765E80"/>
    <w:rsid w:val="00766E95"/>
    <w:rsid w:val="0077072E"/>
    <w:rsid w:val="00771D88"/>
    <w:rsid w:val="00773E2F"/>
    <w:rsid w:val="00774110"/>
    <w:rsid w:val="00775017"/>
    <w:rsid w:val="0077529A"/>
    <w:rsid w:val="00776996"/>
    <w:rsid w:val="00776E39"/>
    <w:rsid w:val="00777E19"/>
    <w:rsid w:val="00780185"/>
    <w:rsid w:val="00781BCA"/>
    <w:rsid w:val="00782E87"/>
    <w:rsid w:val="0078315A"/>
    <w:rsid w:val="00783617"/>
    <w:rsid w:val="00783654"/>
    <w:rsid w:val="007856F3"/>
    <w:rsid w:val="00785F7E"/>
    <w:rsid w:val="0078666B"/>
    <w:rsid w:val="00787B67"/>
    <w:rsid w:val="00787F66"/>
    <w:rsid w:val="0079083F"/>
    <w:rsid w:val="00790BAD"/>
    <w:rsid w:val="00791192"/>
    <w:rsid w:val="00792540"/>
    <w:rsid w:val="007925D3"/>
    <w:rsid w:val="00792CCA"/>
    <w:rsid w:val="0079363F"/>
    <w:rsid w:val="00793CDD"/>
    <w:rsid w:val="00793F8E"/>
    <w:rsid w:val="0079646A"/>
    <w:rsid w:val="00796A0E"/>
    <w:rsid w:val="00796E38"/>
    <w:rsid w:val="007A00BD"/>
    <w:rsid w:val="007A038A"/>
    <w:rsid w:val="007A2423"/>
    <w:rsid w:val="007A35D7"/>
    <w:rsid w:val="007A3F02"/>
    <w:rsid w:val="007A512E"/>
    <w:rsid w:val="007A66C6"/>
    <w:rsid w:val="007B112E"/>
    <w:rsid w:val="007B189A"/>
    <w:rsid w:val="007B2A5B"/>
    <w:rsid w:val="007B3F7B"/>
    <w:rsid w:val="007B3FCF"/>
    <w:rsid w:val="007B4248"/>
    <w:rsid w:val="007B548D"/>
    <w:rsid w:val="007B5876"/>
    <w:rsid w:val="007B5EB6"/>
    <w:rsid w:val="007B625E"/>
    <w:rsid w:val="007B6AE2"/>
    <w:rsid w:val="007B6DDA"/>
    <w:rsid w:val="007B6DFE"/>
    <w:rsid w:val="007B6EE9"/>
    <w:rsid w:val="007B7852"/>
    <w:rsid w:val="007B79F0"/>
    <w:rsid w:val="007B7E4A"/>
    <w:rsid w:val="007C20C4"/>
    <w:rsid w:val="007C341D"/>
    <w:rsid w:val="007C3A61"/>
    <w:rsid w:val="007C4513"/>
    <w:rsid w:val="007C4CC3"/>
    <w:rsid w:val="007C5F90"/>
    <w:rsid w:val="007C6A3A"/>
    <w:rsid w:val="007C6EF8"/>
    <w:rsid w:val="007C7594"/>
    <w:rsid w:val="007D13E2"/>
    <w:rsid w:val="007D5C3A"/>
    <w:rsid w:val="007D6776"/>
    <w:rsid w:val="007D6C40"/>
    <w:rsid w:val="007D71B7"/>
    <w:rsid w:val="007D7545"/>
    <w:rsid w:val="007E2A32"/>
    <w:rsid w:val="007E45BF"/>
    <w:rsid w:val="007E682E"/>
    <w:rsid w:val="007F15CE"/>
    <w:rsid w:val="007F1D37"/>
    <w:rsid w:val="007F2306"/>
    <w:rsid w:val="007F2585"/>
    <w:rsid w:val="007F313E"/>
    <w:rsid w:val="007F3808"/>
    <w:rsid w:val="007F4407"/>
    <w:rsid w:val="007F515D"/>
    <w:rsid w:val="007F6EE6"/>
    <w:rsid w:val="00801938"/>
    <w:rsid w:val="00801C8D"/>
    <w:rsid w:val="00802A9E"/>
    <w:rsid w:val="008041A9"/>
    <w:rsid w:val="0080535D"/>
    <w:rsid w:val="008054BC"/>
    <w:rsid w:val="00806801"/>
    <w:rsid w:val="00806EE2"/>
    <w:rsid w:val="00807B73"/>
    <w:rsid w:val="00810289"/>
    <w:rsid w:val="00810559"/>
    <w:rsid w:val="00812954"/>
    <w:rsid w:val="00812D76"/>
    <w:rsid w:val="0081363F"/>
    <w:rsid w:val="008139B1"/>
    <w:rsid w:val="00816749"/>
    <w:rsid w:val="008174EE"/>
    <w:rsid w:val="0081794A"/>
    <w:rsid w:val="00817C47"/>
    <w:rsid w:val="00821FDC"/>
    <w:rsid w:val="008231E1"/>
    <w:rsid w:val="00823ACA"/>
    <w:rsid w:val="00825922"/>
    <w:rsid w:val="00826045"/>
    <w:rsid w:val="00826B7E"/>
    <w:rsid w:val="0082761C"/>
    <w:rsid w:val="0082772B"/>
    <w:rsid w:val="0083266C"/>
    <w:rsid w:val="00832C0C"/>
    <w:rsid w:val="00835DDC"/>
    <w:rsid w:val="008369BF"/>
    <w:rsid w:val="00836DFA"/>
    <w:rsid w:val="00837BA5"/>
    <w:rsid w:val="0084119C"/>
    <w:rsid w:val="00842E09"/>
    <w:rsid w:val="00843318"/>
    <w:rsid w:val="0084479A"/>
    <w:rsid w:val="008447DB"/>
    <w:rsid w:val="0084550B"/>
    <w:rsid w:val="00845D5D"/>
    <w:rsid w:val="008463A0"/>
    <w:rsid w:val="00850326"/>
    <w:rsid w:val="00850DED"/>
    <w:rsid w:val="00851E30"/>
    <w:rsid w:val="0085258F"/>
    <w:rsid w:val="0085270B"/>
    <w:rsid w:val="00852F86"/>
    <w:rsid w:val="00854A24"/>
    <w:rsid w:val="00855FFA"/>
    <w:rsid w:val="00857443"/>
    <w:rsid w:val="00861584"/>
    <w:rsid w:val="00861640"/>
    <w:rsid w:val="00861935"/>
    <w:rsid w:val="00862F1F"/>
    <w:rsid w:val="008635FA"/>
    <w:rsid w:val="00864589"/>
    <w:rsid w:val="00865900"/>
    <w:rsid w:val="00866CB0"/>
    <w:rsid w:val="0086733C"/>
    <w:rsid w:val="00871A73"/>
    <w:rsid w:val="00872378"/>
    <w:rsid w:val="00872BAC"/>
    <w:rsid w:val="00872C75"/>
    <w:rsid w:val="00873CDD"/>
    <w:rsid w:val="008757D1"/>
    <w:rsid w:val="00876016"/>
    <w:rsid w:val="00876060"/>
    <w:rsid w:val="00876D14"/>
    <w:rsid w:val="008773C8"/>
    <w:rsid w:val="00877497"/>
    <w:rsid w:val="00877679"/>
    <w:rsid w:val="0088205D"/>
    <w:rsid w:val="00882513"/>
    <w:rsid w:val="0088310E"/>
    <w:rsid w:val="0088389B"/>
    <w:rsid w:val="00884C22"/>
    <w:rsid w:val="00884D1C"/>
    <w:rsid w:val="00885515"/>
    <w:rsid w:val="00886700"/>
    <w:rsid w:val="00887DF1"/>
    <w:rsid w:val="008914B5"/>
    <w:rsid w:val="00892360"/>
    <w:rsid w:val="00892E73"/>
    <w:rsid w:val="00894D05"/>
    <w:rsid w:val="00895C9B"/>
    <w:rsid w:val="00896486"/>
    <w:rsid w:val="008A02AC"/>
    <w:rsid w:val="008A26FF"/>
    <w:rsid w:val="008A38FA"/>
    <w:rsid w:val="008A3CC3"/>
    <w:rsid w:val="008A7FB7"/>
    <w:rsid w:val="008B1263"/>
    <w:rsid w:val="008B2C8A"/>
    <w:rsid w:val="008B3362"/>
    <w:rsid w:val="008B3B2F"/>
    <w:rsid w:val="008B446C"/>
    <w:rsid w:val="008B716B"/>
    <w:rsid w:val="008B7AA5"/>
    <w:rsid w:val="008C0D6E"/>
    <w:rsid w:val="008C0D89"/>
    <w:rsid w:val="008C19BA"/>
    <w:rsid w:val="008C1A7B"/>
    <w:rsid w:val="008C1A88"/>
    <w:rsid w:val="008C1C1A"/>
    <w:rsid w:val="008C2438"/>
    <w:rsid w:val="008C2E2F"/>
    <w:rsid w:val="008C3659"/>
    <w:rsid w:val="008C676E"/>
    <w:rsid w:val="008C793A"/>
    <w:rsid w:val="008D1C98"/>
    <w:rsid w:val="008D1FBF"/>
    <w:rsid w:val="008D24D3"/>
    <w:rsid w:val="008D2DA4"/>
    <w:rsid w:val="008D3B2D"/>
    <w:rsid w:val="008D6299"/>
    <w:rsid w:val="008D6BAF"/>
    <w:rsid w:val="008D7786"/>
    <w:rsid w:val="008D7809"/>
    <w:rsid w:val="008E014D"/>
    <w:rsid w:val="008E0190"/>
    <w:rsid w:val="008E0398"/>
    <w:rsid w:val="008E2A62"/>
    <w:rsid w:val="008E5B59"/>
    <w:rsid w:val="008E679E"/>
    <w:rsid w:val="008E728A"/>
    <w:rsid w:val="008E7CD1"/>
    <w:rsid w:val="008E7DEC"/>
    <w:rsid w:val="008F0CEB"/>
    <w:rsid w:val="008F1C3F"/>
    <w:rsid w:val="008F1D50"/>
    <w:rsid w:val="008F28AE"/>
    <w:rsid w:val="008F6BA1"/>
    <w:rsid w:val="008F7CDD"/>
    <w:rsid w:val="00900E71"/>
    <w:rsid w:val="00901A9E"/>
    <w:rsid w:val="00901D8A"/>
    <w:rsid w:val="00901DFB"/>
    <w:rsid w:val="00902570"/>
    <w:rsid w:val="009029A3"/>
    <w:rsid w:val="009048D9"/>
    <w:rsid w:val="00905128"/>
    <w:rsid w:val="00910423"/>
    <w:rsid w:val="00910C4F"/>
    <w:rsid w:val="00911B1C"/>
    <w:rsid w:val="00913155"/>
    <w:rsid w:val="00913317"/>
    <w:rsid w:val="00913488"/>
    <w:rsid w:val="00913759"/>
    <w:rsid w:val="0091504B"/>
    <w:rsid w:val="00915755"/>
    <w:rsid w:val="00915906"/>
    <w:rsid w:val="00915B91"/>
    <w:rsid w:val="00920743"/>
    <w:rsid w:val="00920B5F"/>
    <w:rsid w:val="00921451"/>
    <w:rsid w:val="009233D7"/>
    <w:rsid w:val="0092399A"/>
    <w:rsid w:val="00923BC2"/>
    <w:rsid w:val="0092421F"/>
    <w:rsid w:val="0093226F"/>
    <w:rsid w:val="00933C19"/>
    <w:rsid w:val="00936AD5"/>
    <w:rsid w:val="00937148"/>
    <w:rsid w:val="0093749B"/>
    <w:rsid w:val="0094125D"/>
    <w:rsid w:val="00942B82"/>
    <w:rsid w:val="00943BAE"/>
    <w:rsid w:val="009448A1"/>
    <w:rsid w:val="00944E93"/>
    <w:rsid w:val="00945E6F"/>
    <w:rsid w:val="00946353"/>
    <w:rsid w:val="00946C5E"/>
    <w:rsid w:val="0094762D"/>
    <w:rsid w:val="00950B96"/>
    <w:rsid w:val="00950E01"/>
    <w:rsid w:val="00950E5E"/>
    <w:rsid w:val="00951AF2"/>
    <w:rsid w:val="00951D89"/>
    <w:rsid w:val="009525D8"/>
    <w:rsid w:val="0095421F"/>
    <w:rsid w:val="009572E0"/>
    <w:rsid w:val="00961C81"/>
    <w:rsid w:val="0096284C"/>
    <w:rsid w:val="009630A5"/>
    <w:rsid w:val="009632AD"/>
    <w:rsid w:val="00963FEB"/>
    <w:rsid w:val="00966099"/>
    <w:rsid w:val="00967143"/>
    <w:rsid w:val="0096753A"/>
    <w:rsid w:val="00967913"/>
    <w:rsid w:val="00967927"/>
    <w:rsid w:val="00970F84"/>
    <w:rsid w:val="00972C29"/>
    <w:rsid w:val="00973107"/>
    <w:rsid w:val="00973D29"/>
    <w:rsid w:val="00976D6E"/>
    <w:rsid w:val="00980F11"/>
    <w:rsid w:val="0098222A"/>
    <w:rsid w:val="0098264A"/>
    <w:rsid w:val="00982F0D"/>
    <w:rsid w:val="009851F6"/>
    <w:rsid w:val="009856E3"/>
    <w:rsid w:val="00985FA6"/>
    <w:rsid w:val="00987107"/>
    <w:rsid w:val="0099060D"/>
    <w:rsid w:val="0099217A"/>
    <w:rsid w:val="0099232E"/>
    <w:rsid w:val="00992341"/>
    <w:rsid w:val="009923FB"/>
    <w:rsid w:val="00993802"/>
    <w:rsid w:val="00994311"/>
    <w:rsid w:val="00994F7B"/>
    <w:rsid w:val="00995877"/>
    <w:rsid w:val="00996F12"/>
    <w:rsid w:val="009A0993"/>
    <w:rsid w:val="009A0CE0"/>
    <w:rsid w:val="009A20CF"/>
    <w:rsid w:val="009A2784"/>
    <w:rsid w:val="009A2ACA"/>
    <w:rsid w:val="009A3CB0"/>
    <w:rsid w:val="009A6469"/>
    <w:rsid w:val="009A6DC8"/>
    <w:rsid w:val="009A7E13"/>
    <w:rsid w:val="009A7FBB"/>
    <w:rsid w:val="009B00C1"/>
    <w:rsid w:val="009B08A2"/>
    <w:rsid w:val="009B10CF"/>
    <w:rsid w:val="009B2B72"/>
    <w:rsid w:val="009B4681"/>
    <w:rsid w:val="009B6DE4"/>
    <w:rsid w:val="009B7FC7"/>
    <w:rsid w:val="009C17FD"/>
    <w:rsid w:val="009C19FB"/>
    <w:rsid w:val="009C1A79"/>
    <w:rsid w:val="009C1CE2"/>
    <w:rsid w:val="009C2B3F"/>
    <w:rsid w:val="009C38CD"/>
    <w:rsid w:val="009C3AB3"/>
    <w:rsid w:val="009C4485"/>
    <w:rsid w:val="009C53B7"/>
    <w:rsid w:val="009C56B6"/>
    <w:rsid w:val="009C60A7"/>
    <w:rsid w:val="009D0332"/>
    <w:rsid w:val="009D1122"/>
    <w:rsid w:val="009D1CCD"/>
    <w:rsid w:val="009D4AC0"/>
    <w:rsid w:val="009D77B4"/>
    <w:rsid w:val="009E1890"/>
    <w:rsid w:val="009E1D38"/>
    <w:rsid w:val="009E2685"/>
    <w:rsid w:val="009E386E"/>
    <w:rsid w:val="009E3A0D"/>
    <w:rsid w:val="009E3B11"/>
    <w:rsid w:val="009E3B4E"/>
    <w:rsid w:val="009E4196"/>
    <w:rsid w:val="009E57E4"/>
    <w:rsid w:val="009E5A3D"/>
    <w:rsid w:val="009E63AC"/>
    <w:rsid w:val="009E6758"/>
    <w:rsid w:val="009E68A8"/>
    <w:rsid w:val="009E6A82"/>
    <w:rsid w:val="009E7873"/>
    <w:rsid w:val="009E79CF"/>
    <w:rsid w:val="009E7F92"/>
    <w:rsid w:val="009F0078"/>
    <w:rsid w:val="009F0B70"/>
    <w:rsid w:val="009F1B22"/>
    <w:rsid w:val="009F366D"/>
    <w:rsid w:val="009F39E4"/>
    <w:rsid w:val="009F512B"/>
    <w:rsid w:val="009F5875"/>
    <w:rsid w:val="009F5C38"/>
    <w:rsid w:val="009F67EE"/>
    <w:rsid w:val="009F7E4A"/>
    <w:rsid w:val="00A01477"/>
    <w:rsid w:val="00A02DAD"/>
    <w:rsid w:val="00A03127"/>
    <w:rsid w:val="00A0316D"/>
    <w:rsid w:val="00A046E1"/>
    <w:rsid w:val="00A04DA8"/>
    <w:rsid w:val="00A0502C"/>
    <w:rsid w:val="00A06FFD"/>
    <w:rsid w:val="00A07331"/>
    <w:rsid w:val="00A101E1"/>
    <w:rsid w:val="00A105FA"/>
    <w:rsid w:val="00A1105F"/>
    <w:rsid w:val="00A116AB"/>
    <w:rsid w:val="00A13CCE"/>
    <w:rsid w:val="00A13E99"/>
    <w:rsid w:val="00A150A2"/>
    <w:rsid w:val="00A15E2F"/>
    <w:rsid w:val="00A15EBD"/>
    <w:rsid w:val="00A176EF"/>
    <w:rsid w:val="00A205C1"/>
    <w:rsid w:val="00A20770"/>
    <w:rsid w:val="00A20B74"/>
    <w:rsid w:val="00A21213"/>
    <w:rsid w:val="00A21932"/>
    <w:rsid w:val="00A21934"/>
    <w:rsid w:val="00A22510"/>
    <w:rsid w:val="00A23DCA"/>
    <w:rsid w:val="00A25A22"/>
    <w:rsid w:val="00A26A20"/>
    <w:rsid w:val="00A300B4"/>
    <w:rsid w:val="00A3018D"/>
    <w:rsid w:val="00A30421"/>
    <w:rsid w:val="00A327F2"/>
    <w:rsid w:val="00A37FF2"/>
    <w:rsid w:val="00A406BF"/>
    <w:rsid w:val="00A41AF3"/>
    <w:rsid w:val="00A41BFD"/>
    <w:rsid w:val="00A4334D"/>
    <w:rsid w:val="00A4361C"/>
    <w:rsid w:val="00A471FE"/>
    <w:rsid w:val="00A508F8"/>
    <w:rsid w:val="00A50A43"/>
    <w:rsid w:val="00A51286"/>
    <w:rsid w:val="00A515F1"/>
    <w:rsid w:val="00A52F6D"/>
    <w:rsid w:val="00A530F8"/>
    <w:rsid w:val="00A537C1"/>
    <w:rsid w:val="00A54802"/>
    <w:rsid w:val="00A54B32"/>
    <w:rsid w:val="00A562B0"/>
    <w:rsid w:val="00A56687"/>
    <w:rsid w:val="00A56940"/>
    <w:rsid w:val="00A56E69"/>
    <w:rsid w:val="00A56E7D"/>
    <w:rsid w:val="00A57BD9"/>
    <w:rsid w:val="00A602A5"/>
    <w:rsid w:val="00A612FA"/>
    <w:rsid w:val="00A61659"/>
    <w:rsid w:val="00A6201E"/>
    <w:rsid w:val="00A620A6"/>
    <w:rsid w:val="00A6269F"/>
    <w:rsid w:val="00A641AD"/>
    <w:rsid w:val="00A6570D"/>
    <w:rsid w:val="00A65821"/>
    <w:rsid w:val="00A65E96"/>
    <w:rsid w:val="00A66F2A"/>
    <w:rsid w:val="00A67DA1"/>
    <w:rsid w:val="00A701B3"/>
    <w:rsid w:val="00A701C3"/>
    <w:rsid w:val="00A7079E"/>
    <w:rsid w:val="00A7223B"/>
    <w:rsid w:val="00A72FB9"/>
    <w:rsid w:val="00A7481F"/>
    <w:rsid w:val="00A757E3"/>
    <w:rsid w:val="00A76E63"/>
    <w:rsid w:val="00A77498"/>
    <w:rsid w:val="00A775E8"/>
    <w:rsid w:val="00A81BCC"/>
    <w:rsid w:val="00A81FCC"/>
    <w:rsid w:val="00A82AAE"/>
    <w:rsid w:val="00A837FF"/>
    <w:rsid w:val="00A84377"/>
    <w:rsid w:val="00A84740"/>
    <w:rsid w:val="00A84F5B"/>
    <w:rsid w:val="00A85BDF"/>
    <w:rsid w:val="00A85F95"/>
    <w:rsid w:val="00A8644D"/>
    <w:rsid w:val="00A86970"/>
    <w:rsid w:val="00A869A5"/>
    <w:rsid w:val="00A86CE2"/>
    <w:rsid w:val="00A9066B"/>
    <w:rsid w:val="00A90A28"/>
    <w:rsid w:val="00A9291B"/>
    <w:rsid w:val="00A954D5"/>
    <w:rsid w:val="00A95E38"/>
    <w:rsid w:val="00A95E83"/>
    <w:rsid w:val="00A97C3D"/>
    <w:rsid w:val="00AA197C"/>
    <w:rsid w:val="00AA30BB"/>
    <w:rsid w:val="00AA415E"/>
    <w:rsid w:val="00AA50FF"/>
    <w:rsid w:val="00AA516C"/>
    <w:rsid w:val="00AA6CA1"/>
    <w:rsid w:val="00AA6FB6"/>
    <w:rsid w:val="00AB28EA"/>
    <w:rsid w:val="00AB29F7"/>
    <w:rsid w:val="00AB2DC6"/>
    <w:rsid w:val="00AB34BA"/>
    <w:rsid w:val="00AB3546"/>
    <w:rsid w:val="00AB38E5"/>
    <w:rsid w:val="00AB3E16"/>
    <w:rsid w:val="00AB56AD"/>
    <w:rsid w:val="00AB654A"/>
    <w:rsid w:val="00AB7621"/>
    <w:rsid w:val="00AB7693"/>
    <w:rsid w:val="00AC0633"/>
    <w:rsid w:val="00AC1A6A"/>
    <w:rsid w:val="00AC289A"/>
    <w:rsid w:val="00AC3D37"/>
    <w:rsid w:val="00AC4E4A"/>
    <w:rsid w:val="00AC5CD8"/>
    <w:rsid w:val="00AC5F4D"/>
    <w:rsid w:val="00AC6809"/>
    <w:rsid w:val="00AC6A2C"/>
    <w:rsid w:val="00AD09B9"/>
    <w:rsid w:val="00AD359F"/>
    <w:rsid w:val="00AD37EC"/>
    <w:rsid w:val="00AD3D91"/>
    <w:rsid w:val="00AD530D"/>
    <w:rsid w:val="00AD594F"/>
    <w:rsid w:val="00AD7AAC"/>
    <w:rsid w:val="00AE0033"/>
    <w:rsid w:val="00AE0402"/>
    <w:rsid w:val="00AE2390"/>
    <w:rsid w:val="00AE3194"/>
    <w:rsid w:val="00AE4DA8"/>
    <w:rsid w:val="00AE56F7"/>
    <w:rsid w:val="00AE591D"/>
    <w:rsid w:val="00AE5C87"/>
    <w:rsid w:val="00AE609A"/>
    <w:rsid w:val="00AE64C2"/>
    <w:rsid w:val="00AF0E0B"/>
    <w:rsid w:val="00AF1589"/>
    <w:rsid w:val="00AF1AF3"/>
    <w:rsid w:val="00AF1C9C"/>
    <w:rsid w:val="00AF3700"/>
    <w:rsid w:val="00AF41B1"/>
    <w:rsid w:val="00AF4A0D"/>
    <w:rsid w:val="00AF56ED"/>
    <w:rsid w:val="00AF66AB"/>
    <w:rsid w:val="00AF7305"/>
    <w:rsid w:val="00AF75EF"/>
    <w:rsid w:val="00B04380"/>
    <w:rsid w:val="00B053C6"/>
    <w:rsid w:val="00B057C7"/>
    <w:rsid w:val="00B058C3"/>
    <w:rsid w:val="00B06E9C"/>
    <w:rsid w:val="00B10471"/>
    <w:rsid w:val="00B11620"/>
    <w:rsid w:val="00B11E28"/>
    <w:rsid w:val="00B11EBB"/>
    <w:rsid w:val="00B13C16"/>
    <w:rsid w:val="00B144E7"/>
    <w:rsid w:val="00B168A6"/>
    <w:rsid w:val="00B21FD9"/>
    <w:rsid w:val="00B226FF"/>
    <w:rsid w:val="00B239C5"/>
    <w:rsid w:val="00B24DB8"/>
    <w:rsid w:val="00B24FD8"/>
    <w:rsid w:val="00B256B7"/>
    <w:rsid w:val="00B259AF"/>
    <w:rsid w:val="00B25D4E"/>
    <w:rsid w:val="00B2712C"/>
    <w:rsid w:val="00B30101"/>
    <w:rsid w:val="00B30227"/>
    <w:rsid w:val="00B3054D"/>
    <w:rsid w:val="00B317D2"/>
    <w:rsid w:val="00B321E5"/>
    <w:rsid w:val="00B349D3"/>
    <w:rsid w:val="00B35A3F"/>
    <w:rsid w:val="00B35F11"/>
    <w:rsid w:val="00B360E9"/>
    <w:rsid w:val="00B374FE"/>
    <w:rsid w:val="00B37B3C"/>
    <w:rsid w:val="00B37D6A"/>
    <w:rsid w:val="00B401DA"/>
    <w:rsid w:val="00B40D0A"/>
    <w:rsid w:val="00B40DB6"/>
    <w:rsid w:val="00B41D20"/>
    <w:rsid w:val="00B41D7F"/>
    <w:rsid w:val="00B42337"/>
    <w:rsid w:val="00B4493C"/>
    <w:rsid w:val="00B451BB"/>
    <w:rsid w:val="00B45679"/>
    <w:rsid w:val="00B45746"/>
    <w:rsid w:val="00B45E28"/>
    <w:rsid w:val="00B47084"/>
    <w:rsid w:val="00B470E9"/>
    <w:rsid w:val="00B47ED4"/>
    <w:rsid w:val="00B50614"/>
    <w:rsid w:val="00B516F5"/>
    <w:rsid w:val="00B52183"/>
    <w:rsid w:val="00B52D76"/>
    <w:rsid w:val="00B535E6"/>
    <w:rsid w:val="00B54923"/>
    <w:rsid w:val="00B550A1"/>
    <w:rsid w:val="00B560A6"/>
    <w:rsid w:val="00B602C5"/>
    <w:rsid w:val="00B64170"/>
    <w:rsid w:val="00B64174"/>
    <w:rsid w:val="00B6561D"/>
    <w:rsid w:val="00B6578E"/>
    <w:rsid w:val="00B6721E"/>
    <w:rsid w:val="00B7065D"/>
    <w:rsid w:val="00B71324"/>
    <w:rsid w:val="00B716F5"/>
    <w:rsid w:val="00B72035"/>
    <w:rsid w:val="00B7261F"/>
    <w:rsid w:val="00B72725"/>
    <w:rsid w:val="00B74104"/>
    <w:rsid w:val="00B74808"/>
    <w:rsid w:val="00B753E0"/>
    <w:rsid w:val="00B758B4"/>
    <w:rsid w:val="00B8016E"/>
    <w:rsid w:val="00B81EBC"/>
    <w:rsid w:val="00B823A8"/>
    <w:rsid w:val="00B85190"/>
    <w:rsid w:val="00B87172"/>
    <w:rsid w:val="00B9170E"/>
    <w:rsid w:val="00B922AC"/>
    <w:rsid w:val="00B9376E"/>
    <w:rsid w:val="00B97BFD"/>
    <w:rsid w:val="00B97D08"/>
    <w:rsid w:val="00BA0861"/>
    <w:rsid w:val="00BA0C00"/>
    <w:rsid w:val="00BA1BC5"/>
    <w:rsid w:val="00BA2145"/>
    <w:rsid w:val="00BA245A"/>
    <w:rsid w:val="00BA3042"/>
    <w:rsid w:val="00BA3D80"/>
    <w:rsid w:val="00BA4E47"/>
    <w:rsid w:val="00BA7166"/>
    <w:rsid w:val="00BA7539"/>
    <w:rsid w:val="00BA78BA"/>
    <w:rsid w:val="00BB01D3"/>
    <w:rsid w:val="00BB1AA2"/>
    <w:rsid w:val="00BB2D87"/>
    <w:rsid w:val="00BB484F"/>
    <w:rsid w:val="00BB5BB2"/>
    <w:rsid w:val="00BB5BDC"/>
    <w:rsid w:val="00BC002A"/>
    <w:rsid w:val="00BC0910"/>
    <w:rsid w:val="00BC20E3"/>
    <w:rsid w:val="00BC5123"/>
    <w:rsid w:val="00BC5213"/>
    <w:rsid w:val="00BC58EE"/>
    <w:rsid w:val="00BC5952"/>
    <w:rsid w:val="00BC5A85"/>
    <w:rsid w:val="00BC6423"/>
    <w:rsid w:val="00BD0CA5"/>
    <w:rsid w:val="00BD0FAA"/>
    <w:rsid w:val="00BD29B5"/>
    <w:rsid w:val="00BD2EAB"/>
    <w:rsid w:val="00BD4B11"/>
    <w:rsid w:val="00BD5041"/>
    <w:rsid w:val="00BD6B0B"/>
    <w:rsid w:val="00BD745E"/>
    <w:rsid w:val="00BD75E5"/>
    <w:rsid w:val="00BD7DBF"/>
    <w:rsid w:val="00BE091A"/>
    <w:rsid w:val="00BE230E"/>
    <w:rsid w:val="00BE3630"/>
    <w:rsid w:val="00BE3AB2"/>
    <w:rsid w:val="00BE449C"/>
    <w:rsid w:val="00BE4656"/>
    <w:rsid w:val="00BE4F03"/>
    <w:rsid w:val="00BE6250"/>
    <w:rsid w:val="00BE704F"/>
    <w:rsid w:val="00BE7CEF"/>
    <w:rsid w:val="00BF032A"/>
    <w:rsid w:val="00BF03CF"/>
    <w:rsid w:val="00BF1526"/>
    <w:rsid w:val="00BF1BD2"/>
    <w:rsid w:val="00BF20F2"/>
    <w:rsid w:val="00BF2DD6"/>
    <w:rsid w:val="00BF4DA3"/>
    <w:rsid w:val="00BF4FDA"/>
    <w:rsid w:val="00BF5DCE"/>
    <w:rsid w:val="00BF6035"/>
    <w:rsid w:val="00C0081B"/>
    <w:rsid w:val="00C0122F"/>
    <w:rsid w:val="00C015B2"/>
    <w:rsid w:val="00C02265"/>
    <w:rsid w:val="00C02352"/>
    <w:rsid w:val="00C024E4"/>
    <w:rsid w:val="00C037C8"/>
    <w:rsid w:val="00C0430F"/>
    <w:rsid w:val="00C04400"/>
    <w:rsid w:val="00C068E5"/>
    <w:rsid w:val="00C06DD6"/>
    <w:rsid w:val="00C07958"/>
    <w:rsid w:val="00C113BE"/>
    <w:rsid w:val="00C12180"/>
    <w:rsid w:val="00C12D7D"/>
    <w:rsid w:val="00C15FE7"/>
    <w:rsid w:val="00C160D0"/>
    <w:rsid w:val="00C16DC0"/>
    <w:rsid w:val="00C16F48"/>
    <w:rsid w:val="00C17D29"/>
    <w:rsid w:val="00C211F1"/>
    <w:rsid w:val="00C216E6"/>
    <w:rsid w:val="00C22370"/>
    <w:rsid w:val="00C25243"/>
    <w:rsid w:val="00C27A07"/>
    <w:rsid w:val="00C30139"/>
    <w:rsid w:val="00C30342"/>
    <w:rsid w:val="00C32121"/>
    <w:rsid w:val="00C332E5"/>
    <w:rsid w:val="00C34615"/>
    <w:rsid w:val="00C34E60"/>
    <w:rsid w:val="00C35567"/>
    <w:rsid w:val="00C37F00"/>
    <w:rsid w:val="00C40434"/>
    <w:rsid w:val="00C41942"/>
    <w:rsid w:val="00C431C3"/>
    <w:rsid w:val="00C433EE"/>
    <w:rsid w:val="00C4353E"/>
    <w:rsid w:val="00C44B14"/>
    <w:rsid w:val="00C47076"/>
    <w:rsid w:val="00C4773D"/>
    <w:rsid w:val="00C47F20"/>
    <w:rsid w:val="00C50D2A"/>
    <w:rsid w:val="00C51628"/>
    <w:rsid w:val="00C525BF"/>
    <w:rsid w:val="00C52B87"/>
    <w:rsid w:val="00C5311A"/>
    <w:rsid w:val="00C549C2"/>
    <w:rsid w:val="00C57404"/>
    <w:rsid w:val="00C60937"/>
    <w:rsid w:val="00C609D4"/>
    <w:rsid w:val="00C61061"/>
    <w:rsid w:val="00C6117D"/>
    <w:rsid w:val="00C613EE"/>
    <w:rsid w:val="00C625EC"/>
    <w:rsid w:val="00C62E3B"/>
    <w:rsid w:val="00C6589F"/>
    <w:rsid w:val="00C65C94"/>
    <w:rsid w:val="00C70E02"/>
    <w:rsid w:val="00C70F6F"/>
    <w:rsid w:val="00C7151D"/>
    <w:rsid w:val="00C71894"/>
    <w:rsid w:val="00C745CB"/>
    <w:rsid w:val="00C7544E"/>
    <w:rsid w:val="00C77369"/>
    <w:rsid w:val="00C77851"/>
    <w:rsid w:val="00C80A06"/>
    <w:rsid w:val="00C821BB"/>
    <w:rsid w:val="00C83925"/>
    <w:rsid w:val="00C83BAE"/>
    <w:rsid w:val="00C846D6"/>
    <w:rsid w:val="00C84D81"/>
    <w:rsid w:val="00C84FB1"/>
    <w:rsid w:val="00C85104"/>
    <w:rsid w:val="00C857C5"/>
    <w:rsid w:val="00C86F48"/>
    <w:rsid w:val="00C90E37"/>
    <w:rsid w:val="00C90E5B"/>
    <w:rsid w:val="00C92138"/>
    <w:rsid w:val="00C92571"/>
    <w:rsid w:val="00C949A1"/>
    <w:rsid w:val="00C95429"/>
    <w:rsid w:val="00C96E30"/>
    <w:rsid w:val="00C973C3"/>
    <w:rsid w:val="00C9754F"/>
    <w:rsid w:val="00CA0494"/>
    <w:rsid w:val="00CA108E"/>
    <w:rsid w:val="00CA1214"/>
    <w:rsid w:val="00CA331F"/>
    <w:rsid w:val="00CA4C46"/>
    <w:rsid w:val="00CA4DB1"/>
    <w:rsid w:val="00CA593C"/>
    <w:rsid w:val="00CA637F"/>
    <w:rsid w:val="00CA7B28"/>
    <w:rsid w:val="00CB0A93"/>
    <w:rsid w:val="00CB0B56"/>
    <w:rsid w:val="00CB17D0"/>
    <w:rsid w:val="00CB1B5D"/>
    <w:rsid w:val="00CB1BED"/>
    <w:rsid w:val="00CB2563"/>
    <w:rsid w:val="00CB2792"/>
    <w:rsid w:val="00CB2C50"/>
    <w:rsid w:val="00CB4388"/>
    <w:rsid w:val="00CB4724"/>
    <w:rsid w:val="00CB538C"/>
    <w:rsid w:val="00CB5740"/>
    <w:rsid w:val="00CC1D13"/>
    <w:rsid w:val="00CC1F93"/>
    <w:rsid w:val="00CC31F7"/>
    <w:rsid w:val="00CC3D7E"/>
    <w:rsid w:val="00CC6C8D"/>
    <w:rsid w:val="00CC6C8E"/>
    <w:rsid w:val="00CC6DEB"/>
    <w:rsid w:val="00CD0047"/>
    <w:rsid w:val="00CD0168"/>
    <w:rsid w:val="00CD0A46"/>
    <w:rsid w:val="00CD15E7"/>
    <w:rsid w:val="00CD1CF1"/>
    <w:rsid w:val="00CD1EB1"/>
    <w:rsid w:val="00CD1FCD"/>
    <w:rsid w:val="00CD30A5"/>
    <w:rsid w:val="00CD339C"/>
    <w:rsid w:val="00CD42D9"/>
    <w:rsid w:val="00CD4D52"/>
    <w:rsid w:val="00CD5B43"/>
    <w:rsid w:val="00CD73FE"/>
    <w:rsid w:val="00CD78E1"/>
    <w:rsid w:val="00CE051E"/>
    <w:rsid w:val="00CE153E"/>
    <w:rsid w:val="00CE23A2"/>
    <w:rsid w:val="00CE4733"/>
    <w:rsid w:val="00CE5764"/>
    <w:rsid w:val="00CE5E09"/>
    <w:rsid w:val="00CE5EEE"/>
    <w:rsid w:val="00CE779D"/>
    <w:rsid w:val="00CE7D50"/>
    <w:rsid w:val="00CF0C57"/>
    <w:rsid w:val="00CF0E44"/>
    <w:rsid w:val="00CF102D"/>
    <w:rsid w:val="00CF22A3"/>
    <w:rsid w:val="00CF319B"/>
    <w:rsid w:val="00CF3563"/>
    <w:rsid w:val="00CF4121"/>
    <w:rsid w:val="00CF4ABB"/>
    <w:rsid w:val="00CF51B3"/>
    <w:rsid w:val="00CF5890"/>
    <w:rsid w:val="00CF73CC"/>
    <w:rsid w:val="00CF77AD"/>
    <w:rsid w:val="00D007CC"/>
    <w:rsid w:val="00D01B58"/>
    <w:rsid w:val="00D022E3"/>
    <w:rsid w:val="00D028A9"/>
    <w:rsid w:val="00D02A95"/>
    <w:rsid w:val="00D02C36"/>
    <w:rsid w:val="00D04806"/>
    <w:rsid w:val="00D077EE"/>
    <w:rsid w:val="00D07ACF"/>
    <w:rsid w:val="00D10333"/>
    <w:rsid w:val="00D105EC"/>
    <w:rsid w:val="00D1182E"/>
    <w:rsid w:val="00D118EA"/>
    <w:rsid w:val="00D126A3"/>
    <w:rsid w:val="00D149B4"/>
    <w:rsid w:val="00D14BF1"/>
    <w:rsid w:val="00D15ECE"/>
    <w:rsid w:val="00D15FBD"/>
    <w:rsid w:val="00D16146"/>
    <w:rsid w:val="00D16591"/>
    <w:rsid w:val="00D207AB"/>
    <w:rsid w:val="00D21980"/>
    <w:rsid w:val="00D225A6"/>
    <w:rsid w:val="00D23864"/>
    <w:rsid w:val="00D23D29"/>
    <w:rsid w:val="00D24903"/>
    <w:rsid w:val="00D24966"/>
    <w:rsid w:val="00D303E4"/>
    <w:rsid w:val="00D315CE"/>
    <w:rsid w:val="00D31700"/>
    <w:rsid w:val="00D34404"/>
    <w:rsid w:val="00D3463C"/>
    <w:rsid w:val="00D3494F"/>
    <w:rsid w:val="00D349AD"/>
    <w:rsid w:val="00D35806"/>
    <w:rsid w:val="00D37C6F"/>
    <w:rsid w:val="00D41F1D"/>
    <w:rsid w:val="00D43718"/>
    <w:rsid w:val="00D44E28"/>
    <w:rsid w:val="00D4573C"/>
    <w:rsid w:val="00D46099"/>
    <w:rsid w:val="00D466F1"/>
    <w:rsid w:val="00D46DCB"/>
    <w:rsid w:val="00D47131"/>
    <w:rsid w:val="00D476C3"/>
    <w:rsid w:val="00D50F17"/>
    <w:rsid w:val="00D51201"/>
    <w:rsid w:val="00D5138C"/>
    <w:rsid w:val="00D531FD"/>
    <w:rsid w:val="00D537A4"/>
    <w:rsid w:val="00D538C4"/>
    <w:rsid w:val="00D53B45"/>
    <w:rsid w:val="00D54F0B"/>
    <w:rsid w:val="00D54F73"/>
    <w:rsid w:val="00D555E7"/>
    <w:rsid w:val="00D55B88"/>
    <w:rsid w:val="00D56F0B"/>
    <w:rsid w:val="00D60FBC"/>
    <w:rsid w:val="00D622BC"/>
    <w:rsid w:val="00D633B5"/>
    <w:rsid w:val="00D637A3"/>
    <w:rsid w:val="00D6465F"/>
    <w:rsid w:val="00D6660C"/>
    <w:rsid w:val="00D6688D"/>
    <w:rsid w:val="00D66D98"/>
    <w:rsid w:val="00D66EA5"/>
    <w:rsid w:val="00D73F63"/>
    <w:rsid w:val="00D74317"/>
    <w:rsid w:val="00D77FA6"/>
    <w:rsid w:val="00D81D3F"/>
    <w:rsid w:val="00D83183"/>
    <w:rsid w:val="00D845DF"/>
    <w:rsid w:val="00D85C2B"/>
    <w:rsid w:val="00D85E82"/>
    <w:rsid w:val="00D86CBF"/>
    <w:rsid w:val="00D90FD8"/>
    <w:rsid w:val="00D91109"/>
    <w:rsid w:val="00D914AF"/>
    <w:rsid w:val="00D924D2"/>
    <w:rsid w:val="00D932ED"/>
    <w:rsid w:val="00D947F3"/>
    <w:rsid w:val="00D952F4"/>
    <w:rsid w:val="00D9636F"/>
    <w:rsid w:val="00D96442"/>
    <w:rsid w:val="00D96D9C"/>
    <w:rsid w:val="00DA0DF0"/>
    <w:rsid w:val="00DA1EE9"/>
    <w:rsid w:val="00DA38DB"/>
    <w:rsid w:val="00DA4408"/>
    <w:rsid w:val="00DA5EE1"/>
    <w:rsid w:val="00DA6E59"/>
    <w:rsid w:val="00DA719E"/>
    <w:rsid w:val="00DB0BA0"/>
    <w:rsid w:val="00DB2374"/>
    <w:rsid w:val="00DB2639"/>
    <w:rsid w:val="00DB404B"/>
    <w:rsid w:val="00DB4318"/>
    <w:rsid w:val="00DB439B"/>
    <w:rsid w:val="00DB6426"/>
    <w:rsid w:val="00DB7297"/>
    <w:rsid w:val="00DC0044"/>
    <w:rsid w:val="00DC012B"/>
    <w:rsid w:val="00DC4000"/>
    <w:rsid w:val="00DC42FB"/>
    <w:rsid w:val="00DC4AA8"/>
    <w:rsid w:val="00DC5F84"/>
    <w:rsid w:val="00DC6516"/>
    <w:rsid w:val="00DC68C8"/>
    <w:rsid w:val="00DD0437"/>
    <w:rsid w:val="00DD13EE"/>
    <w:rsid w:val="00DD5738"/>
    <w:rsid w:val="00DD5BF5"/>
    <w:rsid w:val="00DD5DFC"/>
    <w:rsid w:val="00DD6A0A"/>
    <w:rsid w:val="00DD71F9"/>
    <w:rsid w:val="00DD79BC"/>
    <w:rsid w:val="00DE013D"/>
    <w:rsid w:val="00DE117F"/>
    <w:rsid w:val="00DE1B92"/>
    <w:rsid w:val="00DE2AAC"/>
    <w:rsid w:val="00DE3361"/>
    <w:rsid w:val="00DE3FD2"/>
    <w:rsid w:val="00DE4AF9"/>
    <w:rsid w:val="00DE568B"/>
    <w:rsid w:val="00DE5C7E"/>
    <w:rsid w:val="00DE682F"/>
    <w:rsid w:val="00DE7059"/>
    <w:rsid w:val="00DE73DF"/>
    <w:rsid w:val="00DE77EB"/>
    <w:rsid w:val="00DF033B"/>
    <w:rsid w:val="00DF13DA"/>
    <w:rsid w:val="00DF1863"/>
    <w:rsid w:val="00DF501C"/>
    <w:rsid w:val="00DF503F"/>
    <w:rsid w:val="00DF5312"/>
    <w:rsid w:val="00DF6B80"/>
    <w:rsid w:val="00DF6F5F"/>
    <w:rsid w:val="00DF7338"/>
    <w:rsid w:val="00DF7FA3"/>
    <w:rsid w:val="00E01F4E"/>
    <w:rsid w:val="00E03042"/>
    <w:rsid w:val="00E03695"/>
    <w:rsid w:val="00E03D1A"/>
    <w:rsid w:val="00E045F4"/>
    <w:rsid w:val="00E05707"/>
    <w:rsid w:val="00E06ACA"/>
    <w:rsid w:val="00E07954"/>
    <w:rsid w:val="00E07B8C"/>
    <w:rsid w:val="00E07FE0"/>
    <w:rsid w:val="00E10027"/>
    <w:rsid w:val="00E1113E"/>
    <w:rsid w:val="00E11837"/>
    <w:rsid w:val="00E14316"/>
    <w:rsid w:val="00E156C8"/>
    <w:rsid w:val="00E163DB"/>
    <w:rsid w:val="00E177E4"/>
    <w:rsid w:val="00E21365"/>
    <w:rsid w:val="00E21C85"/>
    <w:rsid w:val="00E220F8"/>
    <w:rsid w:val="00E240DC"/>
    <w:rsid w:val="00E24452"/>
    <w:rsid w:val="00E25FE4"/>
    <w:rsid w:val="00E266FB"/>
    <w:rsid w:val="00E2758E"/>
    <w:rsid w:val="00E309E8"/>
    <w:rsid w:val="00E31F92"/>
    <w:rsid w:val="00E32C28"/>
    <w:rsid w:val="00E33754"/>
    <w:rsid w:val="00E33CB0"/>
    <w:rsid w:val="00E33FC5"/>
    <w:rsid w:val="00E344F3"/>
    <w:rsid w:val="00E349C8"/>
    <w:rsid w:val="00E34A86"/>
    <w:rsid w:val="00E34F74"/>
    <w:rsid w:val="00E36C4B"/>
    <w:rsid w:val="00E36F55"/>
    <w:rsid w:val="00E37926"/>
    <w:rsid w:val="00E4020A"/>
    <w:rsid w:val="00E40C9D"/>
    <w:rsid w:val="00E40CD9"/>
    <w:rsid w:val="00E41A30"/>
    <w:rsid w:val="00E41AE5"/>
    <w:rsid w:val="00E4346A"/>
    <w:rsid w:val="00E4478C"/>
    <w:rsid w:val="00E4563B"/>
    <w:rsid w:val="00E46561"/>
    <w:rsid w:val="00E47BC8"/>
    <w:rsid w:val="00E50C64"/>
    <w:rsid w:val="00E51D34"/>
    <w:rsid w:val="00E52190"/>
    <w:rsid w:val="00E5294B"/>
    <w:rsid w:val="00E53F67"/>
    <w:rsid w:val="00E54D07"/>
    <w:rsid w:val="00E55DB7"/>
    <w:rsid w:val="00E56668"/>
    <w:rsid w:val="00E57B7B"/>
    <w:rsid w:val="00E60E3A"/>
    <w:rsid w:val="00E611B3"/>
    <w:rsid w:val="00E6169C"/>
    <w:rsid w:val="00E61BC0"/>
    <w:rsid w:val="00E6217C"/>
    <w:rsid w:val="00E632BC"/>
    <w:rsid w:val="00E63947"/>
    <w:rsid w:val="00E63EF2"/>
    <w:rsid w:val="00E64C1E"/>
    <w:rsid w:val="00E651D7"/>
    <w:rsid w:val="00E6582A"/>
    <w:rsid w:val="00E66BA6"/>
    <w:rsid w:val="00E712D7"/>
    <w:rsid w:val="00E71640"/>
    <w:rsid w:val="00E7166B"/>
    <w:rsid w:val="00E72067"/>
    <w:rsid w:val="00E7277B"/>
    <w:rsid w:val="00E72CEE"/>
    <w:rsid w:val="00E755EA"/>
    <w:rsid w:val="00E75AD2"/>
    <w:rsid w:val="00E75D9C"/>
    <w:rsid w:val="00E76283"/>
    <w:rsid w:val="00E77500"/>
    <w:rsid w:val="00E817E3"/>
    <w:rsid w:val="00E83CE8"/>
    <w:rsid w:val="00E91588"/>
    <w:rsid w:val="00E91E28"/>
    <w:rsid w:val="00E93107"/>
    <w:rsid w:val="00E95CAD"/>
    <w:rsid w:val="00E9686E"/>
    <w:rsid w:val="00EA066E"/>
    <w:rsid w:val="00EA0978"/>
    <w:rsid w:val="00EA3758"/>
    <w:rsid w:val="00EA39FF"/>
    <w:rsid w:val="00EA622B"/>
    <w:rsid w:val="00EA7D9A"/>
    <w:rsid w:val="00EB04D2"/>
    <w:rsid w:val="00EB19F4"/>
    <w:rsid w:val="00EB2430"/>
    <w:rsid w:val="00EB41AC"/>
    <w:rsid w:val="00EB47C1"/>
    <w:rsid w:val="00EB4C3F"/>
    <w:rsid w:val="00EB6CFB"/>
    <w:rsid w:val="00EB7739"/>
    <w:rsid w:val="00EC0015"/>
    <w:rsid w:val="00EC022D"/>
    <w:rsid w:val="00EC196D"/>
    <w:rsid w:val="00EC1B98"/>
    <w:rsid w:val="00EC2788"/>
    <w:rsid w:val="00EC29CF"/>
    <w:rsid w:val="00EC2B13"/>
    <w:rsid w:val="00EC2C06"/>
    <w:rsid w:val="00EC30B4"/>
    <w:rsid w:val="00EC3597"/>
    <w:rsid w:val="00EC5B36"/>
    <w:rsid w:val="00EC77F6"/>
    <w:rsid w:val="00ED3763"/>
    <w:rsid w:val="00ED4684"/>
    <w:rsid w:val="00ED490C"/>
    <w:rsid w:val="00ED5507"/>
    <w:rsid w:val="00ED56C9"/>
    <w:rsid w:val="00ED6510"/>
    <w:rsid w:val="00ED69BF"/>
    <w:rsid w:val="00ED7523"/>
    <w:rsid w:val="00EE11C7"/>
    <w:rsid w:val="00EE3809"/>
    <w:rsid w:val="00EE4E3C"/>
    <w:rsid w:val="00EE54E3"/>
    <w:rsid w:val="00EE6461"/>
    <w:rsid w:val="00EF172F"/>
    <w:rsid w:val="00EF20AF"/>
    <w:rsid w:val="00EF378E"/>
    <w:rsid w:val="00EF4371"/>
    <w:rsid w:val="00EF49D0"/>
    <w:rsid w:val="00EF5504"/>
    <w:rsid w:val="00EF6A85"/>
    <w:rsid w:val="00F00237"/>
    <w:rsid w:val="00F007CA"/>
    <w:rsid w:val="00F009BA"/>
    <w:rsid w:val="00F0101B"/>
    <w:rsid w:val="00F015B3"/>
    <w:rsid w:val="00F02027"/>
    <w:rsid w:val="00F03E37"/>
    <w:rsid w:val="00F0463F"/>
    <w:rsid w:val="00F046EC"/>
    <w:rsid w:val="00F10E00"/>
    <w:rsid w:val="00F115A3"/>
    <w:rsid w:val="00F13647"/>
    <w:rsid w:val="00F149F0"/>
    <w:rsid w:val="00F154A2"/>
    <w:rsid w:val="00F15F7B"/>
    <w:rsid w:val="00F16CCB"/>
    <w:rsid w:val="00F17E1D"/>
    <w:rsid w:val="00F17E6D"/>
    <w:rsid w:val="00F17FFD"/>
    <w:rsid w:val="00F2044D"/>
    <w:rsid w:val="00F20A09"/>
    <w:rsid w:val="00F21D23"/>
    <w:rsid w:val="00F228AE"/>
    <w:rsid w:val="00F23627"/>
    <w:rsid w:val="00F24528"/>
    <w:rsid w:val="00F25580"/>
    <w:rsid w:val="00F26329"/>
    <w:rsid w:val="00F277A8"/>
    <w:rsid w:val="00F30056"/>
    <w:rsid w:val="00F31BD3"/>
    <w:rsid w:val="00F31F76"/>
    <w:rsid w:val="00F3229B"/>
    <w:rsid w:val="00F330BF"/>
    <w:rsid w:val="00F33EA9"/>
    <w:rsid w:val="00F3401D"/>
    <w:rsid w:val="00F345E6"/>
    <w:rsid w:val="00F366BC"/>
    <w:rsid w:val="00F40DF5"/>
    <w:rsid w:val="00F4170E"/>
    <w:rsid w:val="00F43667"/>
    <w:rsid w:val="00F450AC"/>
    <w:rsid w:val="00F4540C"/>
    <w:rsid w:val="00F456B6"/>
    <w:rsid w:val="00F4700D"/>
    <w:rsid w:val="00F47E5C"/>
    <w:rsid w:val="00F47EE6"/>
    <w:rsid w:val="00F52621"/>
    <w:rsid w:val="00F53364"/>
    <w:rsid w:val="00F53CCD"/>
    <w:rsid w:val="00F560CD"/>
    <w:rsid w:val="00F56A69"/>
    <w:rsid w:val="00F56D19"/>
    <w:rsid w:val="00F57A57"/>
    <w:rsid w:val="00F60374"/>
    <w:rsid w:val="00F60C1A"/>
    <w:rsid w:val="00F61755"/>
    <w:rsid w:val="00F63192"/>
    <w:rsid w:val="00F6343B"/>
    <w:rsid w:val="00F64E30"/>
    <w:rsid w:val="00F6577A"/>
    <w:rsid w:val="00F66903"/>
    <w:rsid w:val="00F70F4C"/>
    <w:rsid w:val="00F72F30"/>
    <w:rsid w:val="00F731B5"/>
    <w:rsid w:val="00F737FC"/>
    <w:rsid w:val="00F750BC"/>
    <w:rsid w:val="00F756F2"/>
    <w:rsid w:val="00F76F90"/>
    <w:rsid w:val="00F803E2"/>
    <w:rsid w:val="00F80A8B"/>
    <w:rsid w:val="00F80C35"/>
    <w:rsid w:val="00F80DCD"/>
    <w:rsid w:val="00F82780"/>
    <w:rsid w:val="00F83B59"/>
    <w:rsid w:val="00F83C77"/>
    <w:rsid w:val="00F83D8D"/>
    <w:rsid w:val="00F85AA2"/>
    <w:rsid w:val="00F874DE"/>
    <w:rsid w:val="00F90A58"/>
    <w:rsid w:val="00F92C4B"/>
    <w:rsid w:val="00F93095"/>
    <w:rsid w:val="00F93410"/>
    <w:rsid w:val="00F941E1"/>
    <w:rsid w:val="00F943E3"/>
    <w:rsid w:val="00F96337"/>
    <w:rsid w:val="00F97E77"/>
    <w:rsid w:val="00FA0C4A"/>
    <w:rsid w:val="00FA167B"/>
    <w:rsid w:val="00FA1C53"/>
    <w:rsid w:val="00FA2D72"/>
    <w:rsid w:val="00FA522C"/>
    <w:rsid w:val="00FA6001"/>
    <w:rsid w:val="00FB13DA"/>
    <w:rsid w:val="00FB2266"/>
    <w:rsid w:val="00FB23DD"/>
    <w:rsid w:val="00FB43F9"/>
    <w:rsid w:val="00FB4505"/>
    <w:rsid w:val="00FB748F"/>
    <w:rsid w:val="00FB770B"/>
    <w:rsid w:val="00FC15F0"/>
    <w:rsid w:val="00FC16E0"/>
    <w:rsid w:val="00FC1E10"/>
    <w:rsid w:val="00FC3757"/>
    <w:rsid w:val="00FC4456"/>
    <w:rsid w:val="00FC4C54"/>
    <w:rsid w:val="00FC595C"/>
    <w:rsid w:val="00FC5EB6"/>
    <w:rsid w:val="00FC6454"/>
    <w:rsid w:val="00FC70F6"/>
    <w:rsid w:val="00FC78D3"/>
    <w:rsid w:val="00FC7AE5"/>
    <w:rsid w:val="00FD0223"/>
    <w:rsid w:val="00FD0293"/>
    <w:rsid w:val="00FD09CF"/>
    <w:rsid w:val="00FD1181"/>
    <w:rsid w:val="00FD145D"/>
    <w:rsid w:val="00FD1627"/>
    <w:rsid w:val="00FD26A8"/>
    <w:rsid w:val="00FD26D8"/>
    <w:rsid w:val="00FD2D4A"/>
    <w:rsid w:val="00FD3653"/>
    <w:rsid w:val="00FD3DB2"/>
    <w:rsid w:val="00FD6297"/>
    <w:rsid w:val="00FD71D1"/>
    <w:rsid w:val="00FE09AA"/>
    <w:rsid w:val="00FE0F47"/>
    <w:rsid w:val="00FE1981"/>
    <w:rsid w:val="00FE1D97"/>
    <w:rsid w:val="00FE2291"/>
    <w:rsid w:val="00FE22B8"/>
    <w:rsid w:val="00FE2F11"/>
    <w:rsid w:val="00FE3D6D"/>
    <w:rsid w:val="00FE5A73"/>
    <w:rsid w:val="00FE6A72"/>
    <w:rsid w:val="00FE77A1"/>
    <w:rsid w:val="00FF0D85"/>
    <w:rsid w:val="00FF2920"/>
    <w:rsid w:val="00FF2D0B"/>
    <w:rsid w:val="00FF35C4"/>
    <w:rsid w:val="00FF4103"/>
    <w:rsid w:val="00FF4391"/>
    <w:rsid w:val="00FF4F82"/>
    <w:rsid w:val="00FF58DB"/>
    <w:rsid w:val="00FF66A5"/>
    <w:rsid w:val="00FF6CCC"/>
    <w:rsid w:val="01066418"/>
    <w:rsid w:val="011253ED"/>
    <w:rsid w:val="01143CB6"/>
    <w:rsid w:val="01273DE6"/>
    <w:rsid w:val="012B7E4D"/>
    <w:rsid w:val="012C2629"/>
    <w:rsid w:val="016E59F3"/>
    <w:rsid w:val="0176439F"/>
    <w:rsid w:val="017C5FCE"/>
    <w:rsid w:val="01817D43"/>
    <w:rsid w:val="01D54AA1"/>
    <w:rsid w:val="01D94624"/>
    <w:rsid w:val="01E2795F"/>
    <w:rsid w:val="01EB45BC"/>
    <w:rsid w:val="01F256D9"/>
    <w:rsid w:val="020236B3"/>
    <w:rsid w:val="020C40F2"/>
    <w:rsid w:val="021138F7"/>
    <w:rsid w:val="021A2C80"/>
    <w:rsid w:val="021E28CA"/>
    <w:rsid w:val="022C0D6C"/>
    <w:rsid w:val="026B3007"/>
    <w:rsid w:val="028B36A9"/>
    <w:rsid w:val="02921448"/>
    <w:rsid w:val="0297204E"/>
    <w:rsid w:val="02CE3596"/>
    <w:rsid w:val="02D22AD8"/>
    <w:rsid w:val="03164348"/>
    <w:rsid w:val="03463FCA"/>
    <w:rsid w:val="03600EDC"/>
    <w:rsid w:val="036A11F0"/>
    <w:rsid w:val="03AC12AA"/>
    <w:rsid w:val="03AC1B29"/>
    <w:rsid w:val="03FB7C01"/>
    <w:rsid w:val="040B341B"/>
    <w:rsid w:val="04180F6C"/>
    <w:rsid w:val="04440C61"/>
    <w:rsid w:val="044F1178"/>
    <w:rsid w:val="045C69BC"/>
    <w:rsid w:val="045E4AE4"/>
    <w:rsid w:val="046B3792"/>
    <w:rsid w:val="046C6BBB"/>
    <w:rsid w:val="04BE2A5C"/>
    <w:rsid w:val="04C03F31"/>
    <w:rsid w:val="04C167AA"/>
    <w:rsid w:val="04E77099"/>
    <w:rsid w:val="05195C41"/>
    <w:rsid w:val="052027CE"/>
    <w:rsid w:val="05402264"/>
    <w:rsid w:val="05404487"/>
    <w:rsid w:val="055406CA"/>
    <w:rsid w:val="05721E18"/>
    <w:rsid w:val="05B25CDD"/>
    <w:rsid w:val="05D45367"/>
    <w:rsid w:val="062F5E1F"/>
    <w:rsid w:val="063E1145"/>
    <w:rsid w:val="066E57BB"/>
    <w:rsid w:val="067032E2"/>
    <w:rsid w:val="06744454"/>
    <w:rsid w:val="067E1281"/>
    <w:rsid w:val="06884463"/>
    <w:rsid w:val="06E03424"/>
    <w:rsid w:val="06E57248"/>
    <w:rsid w:val="071C5217"/>
    <w:rsid w:val="071E464D"/>
    <w:rsid w:val="0736724E"/>
    <w:rsid w:val="073C7668"/>
    <w:rsid w:val="074C2609"/>
    <w:rsid w:val="07656115"/>
    <w:rsid w:val="07833FB5"/>
    <w:rsid w:val="07A20257"/>
    <w:rsid w:val="07AF4222"/>
    <w:rsid w:val="07BC5F66"/>
    <w:rsid w:val="07D17E65"/>
    <w:rsid w:val="07F70F7A"/>
    <w:rsid w:val="08207405"/>
    <w:rsid w:val="0834602D"/>
    <w:rsid w:val="083D3790"/>
    <w:rsid w:val="08410120"/>
    <w:rsid w:val="0848216C"/>
    <w:rsid w:val="08805332"/>
    <w:rsid w:val="08A454C4"/>
    <w:rsid w:val="091066B6"/>
    <w:rsid w:val="0918052D"/>
    <w:rsid w:val="093C56FD"/>
    <w:rsid w:val="09524819"/>
    <w:rsid w:val="095263D0"/>
    <w:rsid w:val="0960323B"/>
    <w:rsid w:val="097E3FBE"/>
    <w:rsid w:val="09880A21"/>
    <w:rsid w:val="09985A87"/>
    <w:rsid w:val="09E36A06"/>
    <w:rsid w:val="09E55273"/>
    <w:rsid w:val="0A20501F"/>
    <w:rsid w:val="0A481606"/>
    <w:rsid w:val="0A801C83"/>
    <w:rsid w:val="0A80551F"/>
    <w:rsid w:val="0AA77883"/>
    <w:rsid w:val="0AE53B72"/>
    <w:rsid w:val="0AF14803"/>
    <w:rsid w:val="0B7B1E41"/>
    <w:rsid w:val="0B860EB1"/>
    <w:rsid w:val="0B8B4540"/>
    <w:rsid w:val="0B9B3C26"/>
    <w:rsid w:val="0B9F1C6E"/>
    <w:rsid w:val="0BE5207C"/>
    <w:rsid w:val="0BEF5F0A"/>
    <w:rsid w:val="0BFB20DB"/>
    <w:rsid w:val="0BFC73C5"/>
    <w:rsid w:val="0C382009"/>
    <w:rsid w:val="0CDF2F6F"/>
    <w:rsid w:val="0CE42333"/>
    <w:rsid w:val="0D00251D"/>
    <w:rsid w:val="0DA970D9"/>
    <w:rsid w:val="0DF539E8"/>
    <w:rsid w:val="0E313BD5"/>
    <w:rsid w:val="0E3D4330"/>
    <w:rsid w:val="0E4660AC"/>
    <w:rsid w:val="0E7923CB"/>
    <w:rsid w:val="0E7B6CB2"/>
    <w:rsid w:val="0E8F62CF"/>
    <w:rsid w:val="0E9E4FFA"/>
    <w:rsid w:val="0EA0228A"/>
    <w:rsid w:val="0EA56722"/>
    <w:rsid w:val="0EC73CBB"/>
    <w:rsid w:val="0ECA5559"/>
    <w:rsid w:val="0EE0555C"/>
    <w:rsid w:val="0EFC36F0"/>
    <w:rsid w:val="0F087BA7"/>
    <w:rsid w:val="0F1A27EC"/>
    <w:rsid w:val="0F24110D"/>
    <w:rsid w:val="0F443C12"/>
    <w:rsid w:val="0F5A0F7A"/>
    <w:rsid w:val="0F5C3DDD"/>
    <w:rsid w:val="0F6C3A64"/>
    <w:rsid w:val="0F88196A"/>
    <w:rsid w:val="0FE15CA9"/>
    <w:rsid w:val="100D394F"/>
    <w:rsid w:val="102077E1"/>
    <w:rsid w:val="105A428E"/>
    <w:rsid w:val="10741E80"/>
    <w:rsid w:val="107C6D27"/>
    <w:rsid w:val="108E5D13"/>
    <w:rsid w:val="10D96D2F"/>
    <w:rsid w:val="10DF12A1"/>
    <w:rsid w:val="11071F31"/>
    <w:rsid w:val="112F78F5"/>
    <w:rsid w:val="117901BD"/>
    <w:rsid w:val="11792D8F"/>
    <w:rsid w:val="1198193E"/>
    <w:rsid w:val="11AC5327"/>
    <w:rsid w:val="11D43E15"/>
    <w:rsid w:val="11E710E0"/>
    <w:rsid w:val="11ED1C8A"/>
    <w:rsid w:val="11F608AF"/>
    <w:rsid w:val="11F72B09"/>
    <w:rsid w:val="120570C1"/>
    <w:rsid w:val="12250338"/>
    <w:rsid w:val="123478B9"/>
    <w:rsid w:val="12B55C37"/>
    <w:rsid w:val="12C31B2A"/>
    <w:rsid w:val="12F14A20"/>
    <w:rsid w:val="12FE3A23"/>
    <w:rsid w:val="130D010A"/>
    <w:rsid w:val="134D0507"/>
    <w:rsid w:val="135109A0"/>
    <w:rsid w:val="135A6B89"/>
    <w:rsid w:val="137E5538"/>
    <w:rsid w:val="13904A4D"/>
    <w:rsid w:val="13DF3990"/>
    <w:rsid w:val="14012306"/>
    <w:rsid w:val="14157358"/>
    <w:rsid w:val="142A5AC4"/>
    <w:rsid w:val="146401FE"/>
    <w:rsid w:val="14A73408"/>
    <w:rsid w:val="14FC201D"/>
    <w:rsid w:val="151237B6"/>
    <w:rsid w:val="157F12AD"/>
    <w:rsid w:val="15C54EA5"/>
    <w:rsid w:val="15F22707"/>
    <w:rsid w:val="15FB522B"/>
    <w:rsid w:val="16356B45"/>
    <w:rsid w:val="164C2CF7"/>
    <w:rsid w:val="166E1A2C"/>
    <w:rsid w:val="16872A35"/>
    <w:rsid w:val="169326D4"/>
    <w:rsid w:val="16D927DD"/>
    <w:rsid w:val="1704307D"/>
    <w:rsid w:val="171C091C"/>
    <w:rsid w:val="1729786F"/>
    <w:rsid w:val="17575DF8"/>
    <w:rsid w:val="17604CAC"/>
    <w:rsid w:val="176A5B87"/>
    <w:rsid w:val="17AC4BB5"/>
    <w:rsid w:val="17AE7C33"/>
    <w:rsid w:val="17BD625E"/>
    <w:rsid w:val="17C23271"/>
    <w:rsid w:val="185B5E04"/>
    <w:rsid w:val="18602A8A"/>
    <w:rsid w:val="18653269"/>
    <w:rsid w:val="1870214D"/>
    <w:rsid w:val="1879015A"/>
    <w:rsid w:val="188E1CBB"/>
    <w:rsid w:val="188E4CE1"/>
    <w:rsid w:val="18934C0E"/>
    <w:rsid w:val="18C272A1"/>
    <w:rsid w:val="18E83BE4"/>
    <w:rsid w:val="190B6E9A"/>
    <w:rsid w:val="19141665"/>
    <w:rsid w:val="191F46F3"/>
    <w:rsid w:val="192C2D2A"/>
    <w:rsid w:val="1945415A"/>
    <w:rsid w:val="194D1260"/>
    <w:rsid w:val="19650358"/>
    <w:rsid w:val="1977008B"/>
    <w:rsid w:val="19801636"/>
    <w:rsid w:val="198911D7"/>
    <w:rsid w:val="199158FC"/>
    <w:rsid w:val="19B514D6"/>
    <w:rsid w:val="19B92B66"/>
    <w:rsid w:val="19DC491F"/>
    <w:rsid w:val="19EC0A79"/>
    <w:rsid w:val="1A0933D9"/>
    <w:rsid w:val="1A4E37B0"/>
    <w:rsid w:val="1A83323F"/>
    <w:rsid w:val="1A921260"/>
    <w:rsid w:val="1AAE6CE1"/>
    <w:rsid w:val="1AB217D3"/>
    <w:rsid w:val="1AB845B7"/>
    <w:rsid w:val="1AD559B1"/>
    <w:rsid w:val="1AE70ACE"/>
    <w:rsid w:val="1AEB26BE"/>
    <w:rsid w:val="1AF00E32"/>
    <w:rsid w:val="1AFF273F"/>
    <w:rsid w:val="1B1A78E7"/>
    <w:rsid w:val="1B1D6056"/>
    <w:rsid w:val="1B7C65B2"/>
    <w:rsid w:val="1B7D5997"/>
    <w:rsid w:val="1B920482"/>
    <w:rsid w:val="1BC727AF"/>
    <w:rsid w:val="1BCC50C0"/>
    <w:rsid w:val="1BCF5D53"/>
    <w:rsid w:val="1C2F4C4D"/>
    <w:rsid w:val="1C362480"/>
    <w:rsid w:val="1C3B7A96"/>
    <w:rsid w:val="1C484ACE"/>
    <w:rsid w:val="1C5F63A6"/>
    <w:rsid w:val="1C664620"/>
    <w:rsid w:val="1C855027"/>
    <w:rsid w:val="1C922D83"/>
    <w:rsid w:val="1C994606"/>
    <w:rsid w:val="1CEF0A0A"/>
    <w:rsid w:val="1CF51950"/>
    <w:rsid w:val="1CFF1437"/>
    <w:rsid w:val="1D373FB2"/>
    <w:rsid w:val="1D464B9E"/>
    <w:rsid w:val="1D4C1DE7"/>
    <w:rsid w:val="1D533029"/>
    <w:rsid w:val="1D54652C"/>
    <w:rsid w:val="1D796AC8"/>
    <w:rsid w:val="1DCA08C1"/>
    <w:rsid w:val="1E0F2F88"/>
    <w:rsid w:val="1E197963"/>
    <w:rsid w:val="1E695FED"/>
    <w:rsid w:val="1E8170BF"/>
    <w:rsid w:val="1E8278B3"/>
    <w:rsid w:val="1ECC70CB"/>
    <w:rsid w:val="1EEB5BCA"/>
    <w:rsid w:val="1EEE7042"/>
    <w:rsid w:val="1F220A99"/>
    <w:rsid w:val="1F3507CD"/>
    <w:rsid w:val="1F3D4BD0"/>
    <w:rsid w:val="1F4E3F72"/>
    <w:rsid w:val="1F72557D"/>
    <w:rsid w:val="1F79582C"/>
    <w:rsid w:val="1F882FF2"/>
    <w:rsid w:val="1FC3227C"/>
    <w:rsid w:val="1FED70CE"/>
    <w:rsid w:val="1FF45494"/>
    <w:rsid w:val="200A7EAB"/>
    <w:rsid w:val="200E62BE"/>
    <w:rsid w:val="201900EE"/>
    <w:rsid w:val="2020344C"/>
    <w:rsid w:val="204D7D98"/>
    <w:rsid w:val="204E28A5"/>
    <w:rsid w:val="206D0307"/>
    <w:rsid w:val="207672EF"/>
    <w:rsid w:val="209A3CFB"/>
    <w:rsid w:val="211B39F2"/>
    <w:rsid w:val="21D70239"/>
    <w:rsid w:val="21E401AE"/>
    <w:rsid w:val="21E40288"/>
    <w:rsid w:val="21EF78F6"/>
    <w:rsid w:val="21FE64EE"/>
    <w:rsid w:val="220B170D"/>
    <w:rsid w:val="220E3112"/>
    <w:rsid w:val="2212752E"/>
    <w:rsid w:val="22596EC8"/>
    <w:rsid w:val="22602E2F"/>
    <w:rsid w:val="2267375D"/>
    <w:rsid w:val="226E339A"/>
    <w:rsid w:val="22880D75"/>
    <w:rsid w:val="22997CA7"/>
    <w:rsid w:val="22C34341"/>
    <w:rsid w:val="22CB777E"/>
    <w:rsid w:val="22F9381E"/>
    <w:rsid w:val="230961F8"/>
    <w:rsid w:val="231921B3"/>
    <w:rsid w:val="2355143D"/>
    <w:rsid w:val="23694B02"/>
    <w:rsid w:val="23ED04BD"/>
    <w:rsid w:val="23F32A04"/>
    <w:rsid w:val="23FA3280"/>
    <w:rsid w:val="24060BF0"/>
    <w:rsid w:val="240F17D6"/>
    <w:rsid w:val="2418246B"/>
    <w:rsid w:val="24224786"/>
    <w:rsid w:val="24253506"/>
    <w:rsid w:val="242E242C"/>
    <w:rsid w:val="245B6F27"/>
    <w:rsid w:val="247022A7"/>
    <w:rsid w:val="24806E3B"/>
    <w:rsid w:val="24882DF9"/>
    <w:rsid w:val="249D3757"/>
    <w:rsid w:val="24D80578"/>
    <w:rsid w:val="25264EFD"/>
    <w:rsid w:val="253F23A5"/>
    <w:rsid w:val="25565941"/>
    <w:rsid w:val="258155DA"/>
    <w:rsid w:val="259C77F7"/>
    <w:rsid w:val="25A1133F"/>
    <w:rsid w:val="25A55F80"/>
    <w:rsid w:val="25A8302D"/>
    <w:rsid w:val="25EE39A1"/>
    <w:rsid w:val="260E3B25"/>
    <w:rsid w:val="26367945"/>
    <w:rsid w:val="263C2EB2"/>
    <w:rsid w:val="26407F8F"/>
    <w:rsid w:val="2668592C"/>
    <w:rsid w:val="266F0A68"/>
    <w:rsid w:val="268E0404"/>
    <w:rsid w:val="268F110A"/>
    <w:rsid w:val="26BE7C79"/>
    <w:rsid w:val="26CD1C32"/>
    <w:rsid w:val="26E1123A"/>
    <w:rsid w:val="26F61299"/>
    <w:rsid w:val="26FE3B9A"/>
    <w:rsid w:val="27027B2E"/>
    <w:rsid w:val="27106F98"/>
    <w:rsid w:val="27170840"/>
    <w:rsid w:val="27230A0B"/>
    <w:rsid w:val="272A153E"/>
    <w:rsid w:val="272C01F9"/>
    <w:rsid w:val="273852FE"/>
    <w:rsid w:val="278728BB"/>
    <w:rsid w:val="27D23AD9"/>
    <w:rsid w:val="27EA4300"/>
    <w:rsid w:val="27FF5E1C"/>
    <w:rsid w:val="281F281F"/>
    <w:rsid w:val="284B4641"/>
    <w:rsid w:val="288411CD"/>
    <w:rsid w:val="28AC603D"/>
    <w:rsid w:val="28D220AC"/>
    <w:rsid w:val="28D41056"/>
    <w:rsid w:val="28D70B46"/>
    <w:rsid w:val="291B6C85"/>
    <w:rsid w:val="292D1D44"/>
    <w:rsid w:val="294206B6"/>
    <w:rsid w:val="294E329F"/>
    <w:rsid w:val="295757E3"/>
    <w:rsid w:val="297956AF"/>
    <w:rsid w:val="29922A6F"/>
    <w:rsid w:val="29D25478"/>
    <w:rsid w:val="29EA5A16"/>
    <w:rsid w:val="29F50459"/>
    <w:rsid w:val="2A2F2C58"/>
    <w:rsid w:val="2A600AAE"/>
    <w:rsid w:val="2AA55FF9"/>
    <w:rsid w:val="2AAD3A8A"/>
    <w:rsid w:val="2B001316"/>
    <w:rsid w:val="2B22254D"/>
    <w:rsid w:val="2B342280"/>
    <w:rsid w:val="2B4D0A34"/>
    <w:rsid w:val="2B920D55"/>
    <w:rsid w:val="2B942D1F"/>
    <w:rsid w:val="2B9B606A"/>
    <w:rsid w:val="2BFF0AC1"/>
    <w:rsid w:val="2C016606"/>
    <w:rsid w:val="2C324A12"/>
    <w:rsid w:val="2C5D5B51"/>
    <w:rsid w:val="2C84079F"/>
    <w:rsid w:val="2C8836E4"/>
    <w:rsid w:val="2CAA608D"/>
    <w:rsid w:val="2CDB22EA"/>
    <w:rsid w:val="2CED26E7"/>
    <w:rsid w:val="2D0007C4"/>
    <w:rsid w:val="2D045C82"/>
    <w:rsid w:val="2D1D2275"/>
    <w:rsid w:val="2D2161BF"/>
    <w:rsid w:val="2D5D2629"/>
    <w:rsid w:val="2D8F39A2"/>
    <w:rsid w:val="2D962D7E"/>
    <w:rsid w:val="2DBB5BA6"/>
    <w:rsid w:val="2DC071FE"/>
    <w:rsid w:val="2DE10A31"/>
    <w:rsid w:val="2E027D0C"/>
    <w:rsid w:val="2E1A197C"/>
    <w:rsid w:val="2E2959A0"/>
    <w:rsid w:val="2E400F3C"/>
    <w:rsid w:val="2E426A62"/>
    <w:rsid w:val="2E692241"/>
    <w:rsid w:val="2E6C3ADF"/>
    <w:rsid w:val="2E840E29"/>
    <w:rsid w:val="2E921798"/>
    <w:rsid w:val="2EA43044"/>
    <w:rsid w:val="2EB30F47"/>
    <w:rsid w:val="2EC23E75"/>
    <w:rsid w:val="2ECF7FD8"/>
    <w:rsid w:val="2EDF7533"/>
    <w:rsid w:val="2F023A5C"/>
    <w:rsid w:val="2F0860B8"/>
    <w:rsid w:val="2F4376DF"/>
    <w:rsid w:val="2F54120D"/>
    <w:rsid w:val="2F830073"/>
    <w:rsid w:val="2F8B69AD"/>
    <w:rsid w:val="2FA06136"/>
    <w:rsid w:val="2FD865D9"/>
    <w:rsid w:val="2FF40ABC"/>
    <w:rsid w:val="2FFB63E5"/>
    <w:rsid w:val="2FFD4E80"/>
    <w:rsid w:val="3034687E"/>
    <w:rsid w:val="304E0371"/>
    <w:rsid w:val="306814F8"/>
    <w:rsid w:val="30953CDE"/>
    <w:rsid w:val="30A60251"/>
    <w:rsid w:val="30CB0F91"/>
    <w:rsid w:val="30CB739A"/>
    <w:rsid w:val="314D7BF8"/>
    <w:rsid w:val="315A3E8F"/>
    <w:rsid w:val="315C4103"/>
    <w:rsid w:val="315C7DFC"/>
    <w:rsid w:val="31872B5F"/>
    <w:rsid w:val="319D4FDD"/>
    <w:rsid w:val="31A17F44"/>
    <w:rsid w:val="31A4332B"/>
    <w:rsid w:val="31A74127"/>
    <w:rsid w:val="31AA2E09"/>
    <w:rsid w:val="31B170DE"/>
    <w:rsid w:val="31EF5153"/>
    <w:rsid w:val="31FD1228"/>
    <w:rsid w:val="32043EF4"/>
    <w:rsid w:val="32543208"/>
    <w:rsid w:val="32565A20"/>
    <w:rsid w:val="32B659F9"/>
    <w:rsid w:val="32E91B40"/>
    <w:rsid w:val="33042BBB"/>
    <w:rsid w:val="331F4B13"/>
    <w:rsid w:val="33405E4A"/>
    <w:rsid w:val="3355548A"/>
    <w:rsid w:val="337F3E0E"/>
    <w:rsid w:val="33EF4F96"/>
    <w:rsid w:val="33F26834"/>
    <w:rsid w:val="3402227D"/>
    <w:rsid w:val="34180991"/>
    <w:rsid w:val="3421071B"/>
    <w:rsid w:val="342509B8"/>
    <w:rsid w:val="342B1D46"/>
    <w:rsid w:val="346F1641"/>
    <w:rsid w:val="34732681"/>
    <w:rsid w:val="3497049C"/>
    <w:rsid w:val="349C6B41"/>
    <w:rsid w:val="34E8158A"/>
    <w:rsid w:val="34F33406"/>
    <w:rsid w:val="34FA1E45"/>
    <w:rsid w:val="350157B8"/>
    <w:rsid w:val="3506386F"/>
    <w:rsid w:val="351729F7"/>
    <w:rsid w:val="351A79E5"/>
    <w:rsid w:val="35276704"/>
    <w:rsid w:val="353833C7"/>
    <w:rsid w:val="35891A89"/>
    <w:rsid w:val="35942D77"/>
    <w:rsid w:val="35EE27B6"/>
    <w:rsid w:val="361B3B70"/>
    <w:rsid w:val="361B416E"/>
    <w:rsid w:val="362269FA"/>
    <w:rsid w:val="36464CCC"/>
    <w:rsid w:val="36781CEB"/>
    <w:rsid w:val="36CE5337"/>
    <w:rsid w:val="36DE1FF6"/>
    <w:rsid w:val="36E233A8"/>
    <w:rsid w:val="37046427"/>
    <w:rsid w:val="370A3E05"/>
    <w:rsid w:val="37521BDE"/>
    <w:rsid w:val="37A3615F"/>
    <w:rsid w:val="37B22EAA"/>
    <w:rsid w:val="37B56B9C"/>
    <w:rsid w:val="37C92D5F"/>
    <w:rsid w:val="381D34C1"/>
    <w:rsid w:val="381D6FCD"/>
    <w:rsid w:val="382F0057"/>
    <w:rsid w:val="384C0455"/>
    <w:rsid w:val="38505119"/>
    <w:rsid w:val="386D50ED"/>
    <w:rsid w:val="38734495"/>
    <w:rsid w:val="38A547BD"/>
    <w:rsid w:val="38DE1A7D"/>
    <w:rsid w:val="38E55CD1"/>
    <w:rsid w:val="38F01E0F"/>
    <w:rsid w:val="38F80D91"/>
    <w:rsid w:val="393771F9"/>
    <w:rsid w:val="39463C3B"/>
    <w:rsid w:val="39536528"/>
    <w:rsid w:val="39817F76"/>
    <w:rsid w:val="39840403"/>
    <w:rsid w:val="398839EE"/>
    <w:rsid w:val="399159E4"/>
    <w:rsid w:val="39C24EFB"/>
    <w:rsid w:val="39E135D3"/>
    <w:rsid w:val="39EE68F0"/>
    <w:rsid w:val="3A1C460B"/>
    <w:rsid w:val="3A211C22"/>
    <w:rsid w:val="3A47148B"/>
    <w:rsid w:val="3A544312"/>
    <w:rsid w:val="3A820102"/>
    <w:rsid w:val="3A9E6C6E"/>
    <w:rsid w:val="3AB467C6"/>
    <w:rsid w:val="3AC44711"/>
    <w:rsid w:val="3ACD736D"/>
    <w:rsid w:val="3ADB6274"/>
    <w:rsid w:val="3AEC66D3"/>
    <w:rsid w:val="3AF47336"/>
    <w:rsid w:val="3AF92B9E"/>
    <w:rsid w:val="3B055773"/>
    <w:rsid w:val="3B11613A"/>
    <w:rsid w:val="3B5129DA"/>
    <w:rsid w:val="3B5A188F"/>
    <w:rsid w:val="3B5D4EDB"/>
    <w:rsid w:val="3B7801FB"/>
    <w:rsid w:val="3B7E0D1D"/>
    <w:rsid w:val="3BB71045"/>
    <w:rsid w:val="3BC15248"/>
    <w:rsid w:val="3BD72EE0"/>
    <w:rsid w:val="3C073099"/>
    <w:rsid w:val="3C185099"/>
    <w:rsid w:val="3C335E32"/>
    <w:rsid w:val="3C3814A4"/>
    <w:rsid w:val="3C4340D1"/>
    <w:rsid w:val="3C601C8D"/>
    <w:rsid w:val="3C6329C5"/>
    <w:rsid w:val="3CAC53D1"/>
    <w:rsid w:val="3CBE0CE5"/>
    <w:rsid w:val="3CD63DD6"/>
    <w:rsid w:val="3CDD2778"/>
    <w:rsid w:val="3CED2FA6"/>
    <w:rsid w:val="3CF233E3"/>
    <w:rsid w:val="3D8F3346"/>
    <w:rsid w:val="3DBB53C2"/>
    <w:rsid w:val="3DC50017"/>
    <w:rsid w:val="3DDD4238"/>
    <w:rsid w:val="3E0E2161"/>
    <w:rsid w:val="3E19366A"/>
    <w:rsid w:val="3E1F291C"/>
    <w:rsid w:val="3E32264F"/>
    <w:rsid w:val="3E3874F8"/>
    <w:rsid w:val="3E650498"/>
    <w:rsid w:val="3E6A002C"/>
    <w:rsid w:val="3EA42E21"/>
    <w:rsid w:val="3EAB1E08"/>
    <w:rsid w:val="3EC86B10"/>
    <w:rsid w:val="3ED41958"/>
    <w:rsid w:val="3EE5023D"/>
    <w:rsid w:val="3EE651E8"/>
    <w:rsid w:val="3F035D9A"/>
    <w:rsid w:val="3F12599B"/>
    <w:rsid w:val="3F1955BD"/>
    <w:rsid w:val="3F3D7820"/>
    <w:rsid w:val="3F5D71D2"/>
    <w:rsid w:val="3F650802"/>
    <w:rsid w:val="3F8B767F"/>
    <w:rsid w:val="3FC251A5"/>
    <w:rsid w:val="3FDE0D67"/>
    <w:rsid w:val="404C551E"/>
    <w:rsid w:val="4065450D"/>
    <w:rsid w:val="407503C2"/>
    <w:rsid w:val="40875D70"/>
    <w:rsid w:val="408C7F8F"/>
    <w:rsid w:val="40E816EB"/>
    <w:rsid w:val="40EB4D37"/>
    <w:rsid w:val="410C362B"/>
    <w:rsid w:val="41326E0A"/>
    <w:rsid w:val="41AF64CB"/>
    <w:rsid w:val="41CF6407"/>
    <w:rsid w:val="41DA54D8"/>
    <w:rsid w:val="41DC535C"/>
    <w:rsid w:val="41F852E7"/>
    <w:rsid w:val="41FF262F"/>
    <w:rsid w:val="420460B1"/>
    <w:rsid w:val="420E6F2F"/>
    <w:rsid w:val="42466EEC"/>
    <w:rsid w:val="42544692"/>
    <w:rsid w:val="42972DAC"/>
    <w:rsid w:val="42C615B8"/>
    <w:rsid w:val="42F71E93"/>
    <w:rsid w:val="42FA1A13"/>
    <w:rsid w:val="430321C2"/>
    <w:rsid w:val="43076BC0"/>
    <w:rsid w:val="432B7BFB"/>
    <w:rsid w:val="436112E1"/>
    <w:rsid w:val="43661C93"/>
    <w:rsid w:val="43684D53"/>
    <w:rsid w:val="436F3B0E"/>
    <w:rsid w:val="439B47F3"/>
    <w:rsid w:val="440D66D0"/>
    <w:rsid w:val="440E76BA"/>
    <w:rsid w:val="440F0E8A"/>
    <w:rsid w:val="44574D74"/>
    <w:rsid w:val="44885419"/>
    <w:rsid w:val="44B813D4"/>
    <w:rsid w:val="44BE5BCD"/>
    <w:rsid w:val="44D501D8"/>
    <w:rsid w:val="450B3BFA"/>
    <w:rsid w:val="45143041"/>
    <w:rsid w:val="4532655F"/>
    <w:rsid w:val="45327DE5"/>
    <w:rsid w:val="45344EFF"/>
    <w:rsid w:val="45596713"/>
    <w:rsid w:val="456A4DC4"/>
    <w:rsid w:val="45886FF9"/>
    <w:rsid w:val="459A7A8F"/>
    <w:rsid w:val="45BD32B4"/>
    <w:rsid w:val="45E038F5"/>
    <w:rsid w:val="45E8124F"/>
    <w:rsid w:val="45E82F0F"/>
    <w:rsid w:val="45FB09C8"/>
    <w:rsid w:val="45FB3C6E"/>
    <w:rsid w:val="45FF2EB8"/>
    <w:rsid w:val="462C3E28"/>
    <w:rsid w:val="462E3E12"/>
    <w:rsid w:val="46647A66"/>
    <w:rsid w:val="46691CE9"/>
    <w:rsid w:val="4674757D"/>
    <w:rsid w:val="468377A8"/>
    <w:rsid w:val="4690723F"/>
    <w:rsid w:val="46A402FE"/>
    <w:rsid w:val="46B15B5A"/>
    <w:rsid w:val="46B75DE7"/>
    <w:rsid w:val="46C55DCC"/>
    <w:rsid w:val="46ED0F04"/>
    <w:rsid w:val="46F17109"/>
    <w:rsid w:val="470B7EE1"/>
    <w:rsid w:val="47193A36"/>
    <w:rsid w:val="478F22E4"/>
    <w:rsid w:val="4796684B"/>
    <w:rsid w:val="479A7464"/>
    <w:rsid w:val="47A23C1C"/>
    <w:rsid w:val="47AB52F6"/>
    <w:rsid w:val="47BE1AF8"/>
    <w:rsid w:val="47D6733A"/>
    <w:rsid w:val="48082673"/>
    <w:rsid w:val="481A425C"/>
    <w:rsid w:val="48397FFF"/>
    <w:rsid w:val="483F6EE8"/>
    <w:rsid w:val="48455675"/>
    <w:rsid w:val="485B3227"/>
    <w:rsid w:val="485E533F"/>
    <w:rsid w:val="48ED6E34"/>
    <w:rsid w:val="493A02D3"/>
    <w:rsid w:val="4945187D"/>
    <w:rsid w:val="49470D20"/>
    <w:rsid w:val="49CA57FC"/>
    <w:rsid w:val="49D2306C"/>
    <w:rsid w:val="4A0A1EDD"/>
    <w:rsid w:val="4A1B3974"/>
    <w:rsid w:val="4A4667EE"/>
    <w:rsid w:val="4A4D25BF"/>
    <w:rsid w:val="4A54394D"/>
    <w:rsid w:val="4A6D0C58"/>
    <w:rsid w:val="4A7A5F8F"/>
    <w:rsid w:val="4AC5484B"/>
    <w:rsid w:val="4AC97039"/>
    <w:rsid w:val="4AD03A9A"/>
    <w:rsid w:val="4ADB2A54"/>
    <w:rsid w:val="4AF97B35"/>
    <w:rsid w:val="4B112520"/>
    <w:rsid w:val="4B1E169B"/>
    <w:rsid w:val="4B2A405F"/>
    <w:rsid w:val="4B6127C6"/>
    <w:rsid w:val="4B64274F"/>
    <w:rsid w:val="4B837D92"/>
    <w:rsid w:val="4B8C6D37"/>
    <w:rsid w:val="4BA10E14"/>
    <w:rsid w:val="4BA90E8F"/>
    <w:rsid w:val="4BAD3BC3"/>
    <w:rsid w:val="4BB02E05"/>
    <w:rsid w:val="4BBD733A"/>
    <w:rsid w:val="4C3B4DC5"/>
    <w:rsid w:val="4C673E0C"/>
    <w:rsid w:val="4C8449BE"/>
    <w:rsid w:val="4C9A3174"/>
    <w:rsid w:val="4C9D15DC"/>
    <w:rsid w:val="4CC2083E"/>
    <w:rsid w:val="4CC34DBA"/>
    <w:rsid w:val="4CCF0DE9"/>
    <w:rsid w:val="4CD95142"/>
    <w:rsid w:val="4CF60CEC"/>
    <w:rsid w:val="4D221AE1"/>
    <w:rsid w:val="4D6E11CA"/>
    <w:rsid w:val="4D780890"/>
    <w:rsid w:val="4DB34E2F"/>
    <w:rsid w:val="4DB56DF9"/>
    <w:rsid w:val="4DC4528E"/>
    <w:rsid w:val="4DEE27EA"/>
    <w:rsid w:val="4DF74D1B"/>
    <w:rsid w:val="4E0E49F1"/>
    <w:rsid w:val="4E43099F"/>
    <w:rsid w:val="4E4837C9"/>
    <w:rsid w:val="4E564A6A"/>
    <w:rsid w:val="4E6C589F"/>
    <w:rsid w:val="4E9904C8"/>
    <w:rsid w:val="4EA8070C"/>
    <w:rsid w:val="4F0726A7"/>
    <w:rsid w:val="4F196F13"/>
    <w:rsid w:val="4F2A263E"/>
    <w:rsid w:val="4F5C2EDC"/>
    <w:rsid w:val="4F5F526E"/>
    <w:rsid w:val="4F9D6522"/>
    <w:rsid w:val="4FAE0559"/>
    <w:rsid w:val="4FDE26F6"/>
    <w:rsid w:val="4FF742E8"/>
    <w:rsid w:val="50116DFF"/>
    <w:rsid w:val="502A41BB"/>
    <w:rsid w:val="502B7D02"/>
    <w:rsid w:val="503A10EE"/>
    <w:rsid w:val="50683E8C"/>
    <w:rsid w:val="50A56CB1"/>
    <w:rsid w:val="50D2381E"/>
    <w:rsid w:val="512B62AB"/>
    <w:rsid w:val="517B5710"/>
    <w:rsid w:val="51A056CA"/>
    <w:rsid w:val="51ED25DF"/>
    <w:rsid w:val="52426781"/>
    <w:rsid w:val="525B1317"/>
    <w:rsid w:val="528A2602"/>
    <w:rsid w:val="52935094"/>
    <w:rsid w:val="52C04276"/>
    <w:rsid w:val="52D970E6"/>
    <w:rsid w:val="53236D25"/>
    <w:rsid w:val="533E1E57"/>
    <w:rsid w:val="535A0A0E"/>
    <w:rsid w:val="535D2428"/>
    <w:rsid w:val="535E067B"/>
    <w:rsid w:val="53740BBC"/>
    <w:rsid w:val="5375175D"/>
    <w:rsid w:val="53834B4D"/>
    <w:rsid w:val="539463F2"/>
    <w:rsid w:val="539E41C4"/>
    <w:rsid w:val="539E6527"/>
    <w:rsid w:val="53A25051"/>
    <w:rsid w:val="53C658BC"/>
    <w:rsid w:val="5405507B"/>
    <w:rsid w:val="540C316F"/>
    <w:rsid w:val="545F7ABE"/>
    <w:rsid w:val="546E7D01"/>
    <w:rsid w:val="54774E08"/>
    <w:rsid w:val="547A7656"/>
    <w:rsid w:val="54B037EF"/>
    <w:rsid w:val="54BF603E"/>
    <w:rsid w:val="54C4201F"/>
    <w:rsid w:val="55334150"/>
    <w:rsid w:val="553907F2"/>
    <w:rsid w:val="5598676A"/>
    <w:rsid w:val="559F656B"/>
    <w:rsid w:val="55B360D4"/>
    <w:rsid w:val="55C85E86"/>
    <w:rsid w:val="55F45FE4"/>
    <w:rsid w:val="563102EA"/>
    <w:rsid w:val="56350AD7"/>
    <w:rsid w:val="564057CB"/>
    <w:rsid w:val="56551179"/>
    <w:rsid w:val="566E3FE9"/>
    <w:rsid w:val="56876DCD"/>
    <w:rsid w:val="56C10515"/>
    <w:rsid w:val="56C80241"/>
    <w:rsid w:val="56E36C08"/>
    <w:rsid w:val="56EF3F4F"/>
    <w:rsid w:val="57097568"/>
    <w:rsid w:val="570C28C2"/>
    <w:rsid w:val="572976C7"/>
    <w:rsid w:val="572D5C52"/>
    <w:rsid w:val="574A2360"/>
    <w:rsid w:val="579F3327"/>
    <w:rsid w:val="57B1418D"/>
    <w:rsid w:val="57BE68AA"/>
    <w:rsid w:val="57EE3840"/>
    <w:rsid w:val="57F10599"/>
    <w:rsid w:val="58492617"/>
    <w:rsid w:val="58732FD3"/>
    <w:rsid w:val="587363AB"/>
    <w:rsid w:val="58E1482C"/>
    <w:rsid w:val="58F04284"/>
    <w:rsid w:val="590D5D3B"/>
    <w:rsid w:val="593D03C4"/>
    <w:rsid w:val="594465D1"/>
    <w:rsid w:val="594F0101"/>
    <w:rsid w:val="595C637A"/>
    <w:rsid w:val="595E57B1"/>
    <w:rsid w:val="59745C51"/>
    <w:rsid w:val="59747FA3"/>
    <w:rsid w:val="5980259E"/>
    <w:rsid w:val="5A3317D1"/>
    <w:rsid w:val="5A332E58"/>
    <w:rsid w:val="5A655CE7"/>
    <w:rsid w:val="5A727575"/>
    <w:rsid w:val="5A897643"/>
    <w:rsid w:val="5A900F23"/>
    <w:rsid w:val="5A981F8B"/>
    <w:rsid w:val="5ABA15AB"/>
    <w:rsid w:val="5AC7620D"/>
    <w:rsid w:val="5AC95C92"/>
    <w:rsid w:val="5AC96110"/>
    <w:rsid w:val="5AF677AE"/>
    <w:rsid w:val="5B1909C7"/>
    <w:rsid w:val="5B2D6220"/>
    <w:rsid w:val="5B44071E"/>
    <w:rsid w:val="5B9601D2"/>
    <w:rsid w:val="5BAC1AA0"/>
    <w:rsid w:val="5BBF1CA4"/>
    <w:rsid w:val="5BDD0283"/>
    <w:rsid w:val="5C136010"/>
    <w:rsid w:val="5C1967A5"/>
    <w:rsid w:val="5C57213C"/>
    <w:rsid w:val="5C5B500F"/>
    <w:rsid w:val="5C5C0A61"/>
    <w:rsid w:val="5CD32DF8"/>
    <w:rsid w:val="5CE57523"/>
    <w:rsid w:val="5CF27722"/>
    <w:rsid w:val="5D2F113A"/>
    <w:rsid w:val="5D6323CD"/>
    <w:rsid w:val="5D7B15EB"/>
    <w:rsid w:val="5DD75377"/>
    <w:rsid w:val="5E095830"/>
    <w:rsid w:val="5E245823"/>
    <w:rsid w:val="5E2A4056"/>
    <w:rsid w:val="5E2E150B"/>
    <w:rsid w:val="5E355B65"/>
    <w:rsid w:val="5E5341F0"/>
    <w:rsid w:val="5EB67487"/>
    <w:rsid w:val="5EC16217"/>
    <w:rsid w:val="5EF808F3"/>
    <w:rsid w:val="5EFC3683"/>
    <w:rsid w:val="5EFF2243"/>
    <w:rsid w:val="5F0B6879"/>
    <w:rsid w:val="5F254C05"/>
    <w:rsid w:val="5F506981"/>
    <w:rsid w:val="5F610B8F"/>
    <w:rsid w:val="5F7045A7"/>
    <w:rsid w:val="5F7108B4"/>
    <w:rsid w:val="5F7A39FE"/>
    <w:rsid w:val="5F85487D"/>
    <w:rsid w:val="5FA36AB1"/>
    <w:rsid w:val="5FE84E0C"/>
    <w:rsid w:val="60017680"/>
    <w:rsid w:val="60145C01"/>
    <w:rsid w:val="60235E44"/>
    <w:rsid w:val="60235F98"/>
    <w:rsid w:val="606A5821"/>
    <w:rsid w:val="60C1423F"/>
    <w:rsid w:val="61204131"/>
    <w:rsid w:val="61447E20"/>
    <w:rsid w:val="6159055E"/>
    <w:rsid w:val="61614183"/>
    <w:rsid w:val="61B436FB"/>
    <w:rsid w:val="61D314BE"/>
    <w:rsid w:val="62155934"/>
    <w:rsid w:val="62385F02"/>
    <w:rsid w:val="623A01EC"/>
    <w:rsid w:val="62663953"/>
    <w:rsid w:val="62BC5A0C"/>
    <w:rsid w:val="62D23905"/>
    <w:rsid w:val="62E57EC6"/>
    <w:rsid w:val="62EE7C38"/>
    <w:rsid w:val="62FB09B2"/>
    <w:rsid w:val="630D4668"/>
    <w:rsid w:val="631A287E"/>
    <w:rsid w:val="63AE011A"/>
    <w:rsid w:val="63C4763B"/>
    <w:rsid w:val="63CB65D6"/>
    <w:rsid w:val="63EB4ECB"/>
    <w:rsid w:val="63F024E1"/>
    <w:rsid w:val="63FA510E"/>
    <w:rsid w:val="640461B9"/>
    <w:rsid w:val="643C5726"/>
    <w:rsid w:val="644D348F"/>
    <w:rsid w:val="64746C6E"/>
    <w:rsid w:val="6487023F"/>
    <w:rsid w:val="64977893"/>
    <w:rsid w:val="64997931"/>
    <w:rsid w:val="64A15F8B"/>
    <w:rsid w:val="64AA5237"/>
    <w:rsid w:val="64DF4A2F"/>
    <w:rsid w:val="64E77440"/>
    <w:rsid w:val="65153235"/>
    <w:rsid w:val="651571AA"/>
    <w:rsid w:val="651F307E"/>
    <w:rsid w:val="655B332F"/>
    <w:rsid w:val="657F3B1C"/>
    <w:rsid w:val="65A36D1C"/>
    <w:rsid w:val="65D379C4"/>
    <w:rsid w:val="65D425B6"/>
    <w:rsid w:val="65DE4CE7"/>
    <w:rsid w:val="6639016F"/>
    <w:rsid w:val="666D7E19"/>
    <w:rsid w:val="66877B64"/>
    <w:rsid w:val="669B4986"/>
    <w:rsid w:val="66AE1992"/>
    <w:rsid w:val="66F42721"/>
    <w:rsid w:val="66FB5425"/>
    <w:rsid w:val="670F38E2"/>
    <w:rsid w:val="67423054"/>
    <w:rsid w:val="67471ED7"/>
    <w:rsid w:val="676314F1"/>
    <w:rsid w:val="67644D30"/>
    <w:rsid w:val="67677997"/>
    <w:rsid w:val="67980EC5"/>
    <w:rsid w:val="67A708AF"/>
    <w:rsid w:val="67A95B49"/>
    <w:rsid w:val="67B13D35"/>
    <w:rsid w:val="67B20BAC"/>
    <w:rsid w:val="67B21312"/>
    <w:rsid w:val="68153C99"/>
    <w:rsid w:val="687F1051"/>
    <w:rsid w:val="68880F3A"/>
    <w:rsid w:val="68913A29"/>
    <w:rsid w:val="68BC5088"/>
    <w:rsid w:val="68C225D0"/>
    <w:rsid w:val="69197CEA"/>
    <w:rsid w:val="69344C1E"/>
    <w:rsid w:val="69456E2B"/>
    <w:rsid w:val="696C1C50"/>
    <w:rsid w:val="696D62E2"/>
    <w:rsid w:val="698B6C53"/>
    <w:rsid w:val="69B3090F"/>
    <w:rsid w:val="69BF3CD6"/>
    <w:rsid w:val="69D60BF7"/>
    <w:rsid w:val="6A0C7FD7"/>
    <w:rsid w:val="6A122386"/>
    <w:rsid w:val="6A125041"/>
    <w:rsid w:val="6A2E02E4"/>
    <w:rsid w:val="6A426D51"/>
    <w:rsid w:val="6A6B2CA6"/>
    <w:rsid w:val="6A8753FD"/>
    <w:rsid w:val="6A8E34D4"/>
    <w:rsid w:val="6AA638F9"/>
    <w:rsid w:val="6B07083C"/>
    <w:rsid w:val="6B0B7C00"/>
    <w:rsid w:val="6B0F74F3"/>
    <w:rsid w:val="6B2D235E"/>
    <w:rsid w:val="6B543355"/>
    <w:rsid w:val="6B935E56"/>
    <w:rsid w:val="6B95409A"/>
    <w:rsid w:val="6BC524A5"/>
    <w:rsid w:val="6BE1262B"/>
    <w:rsid w:val="6BE21B12"/>
    <w:rsid w:val="6C153260"/>
    <w:rsid w:val="6C17349A"/>
    <w:rsid w:val="6C1843BD"/>
    <w:rsid w:val="6C1B1096"/>
    <w:rsid w:val="6C494E84"/>
    <w:rsid w:val="6C4B4197"/>
    <w:rsid w:val="6C575818"/>
    <w:rsid w:val="6C67530A"/>
    <w:rsid w:val="6C6D43EB"/>
    <w:rsid w:val="6C7F5126"/>
    <w:rsid w:val="6CCB68F6"/>
    <w:rsid w:val="6D2F7BD6"/>
    <w:rsid w:val="6D462223"/>
    <w:rsid w:val="6D764789"/>
    <w:rsid w:val="6D765805"/>
    <w:rsid w:val="6D7E0B5E"/>
    <w:rsid w:val="6DB9657F"/>
    <w:rsid w:val="6DBE01F5"/>
    <w:rsid w:val="6E2309F5"/>
    <w:rsid w:val="6E663ACB"/>
    <w:rsid w:val="6E7664C6"/>
    <w:rsid w:val="6E922385"/>
    <w:rsid w:val="6EC16F54"/>
    <w:rsid w:val="6F1E7225"/>
    <w:rsid w:val="6F3040D9"/>
    <w:rsid w:val="6F5C6777"/>
    <w:rsid w:val="6F694735"/>
    <w:rsid w:val="6F8C4853"/>
    <w:rsid w:val="6FF62C2D"/>
    <w:rsid w:val="6FFD7AB3"/>
    <w:rsid w:val="70AF3E88"/>
    <w:rsid w:val="70F829D5"/>
    <w:rsid w:val="70F96818"/>
    <w:rsid w:val="716F2C97"/>
    <w:rsid w:val="716F3FF3"/>
    <w:rsid w:val="71813271"/>
    <w:rsid w:val="71950A73"/>
    <w:rsid w:val="719B1CDE"/>
    <w:rsid w:val="719F1F8F"/>
    <w:rsid w:val="71D90A58"/>
    <w:rsid w:val="7203309C"/>
    <w:rsid w:val="72097D64"/>
    <w:rsid w:val="722571D6"/>
    <w:rsid w:val="72275320"/>
    <w:rsid w:val="722C54FD"/>
    <w:rsid w:val="724F2AC9"/>
    <w:rsid w:val="7252521E"/>
    <w:rsid w:val="72A11576"/>
    <w:rsid w:val="72CE7A1E"/>
    <w:rsid w:val="72E12FE2"/>
    <w:rsid w:val="72EE0533"/>
    <w:rsid w:val="731A6C33"/>
    <w:rsid w:val="737E18B7"/>
    <w:rsid w:val="738844E4"/>
    <w:rsid w:val="7391629B"/>
    <w:rsid w:val="73CF6DA2"/>
    <w:rsid w:val="73F42B05"/>
    <w:rsid w:val="743B57B7"/>
    <w:rsid w:val="74686904"/>
    <w:rsid w:val="746960B1"/>
    <w:rsid w:val="74806AE0"/>
    <w:rsid w:val="748A3017"/>
    <w:rsid w:val="748E78D8"/>
    <w:rsid w:val="74962C31"/>
    <w:rsid w:val="749A65CD"/>
    <w:rsid w:val="74C85066"/>
    <w:rsid w:val="74D666A6"/>
    <w:rsid w:val="74ED07DB"/>
    <w:rsid w:val="754B1CD6"/>
    <w:rsid w:val="754B7577"/>
    <w:rsid w:val="75720FA8"/>
    <w:rsid w:val="757414FC"/>
    <w:rsid w:val="75C658D5"/>
    <w:rsid w:val="75D237F5"/>
    <w:rsid w:val="75D738C5"/>
    <w:rsid w:val="75E878C7"/>
    <w:rsid w:val="7610713E"/>
    <w:rsid w:val="76277FE4"/>
    <w:rsid w:val="76310776"/>
    <w:rsid w:val="764010A6"/>
    <w:rsid w:val="76852DCA"/>
    <w:rsid w:val="769660A1"/>
    <w:rsid w:val="76E3345B"/>
    <w:rsid w:val="76E97048"/>
    <w:rsid w:val="76EE0B02"/>
    <w:rsid w:val="77185B7F"/>
    <w:rsid w:val="774C75D7"/>
    <w:rsid w:val="7756518C"/>
    <w:rsid w:val="77626DFA"/>
    <w:rsid w:val="776668EA"/>
    <w:rsid w:val="776973DF"/>
    <w:rsid w:val="778D1F06"/>
    <w:rsid w:val="77A85155"/>
    <w:rsid w:val="77AD4519"/>
    <w:rsid w:val="78216CB5"/>
    <w:rsid w:val="78325E9F"/>
    <w:rsid w:val="783F1F79"/>
    <w:rsid w:val="784E5430"/>
    <w:rsid w:val="786A0221"/>
    <w:rsid w:val="78A92684"/>
    <w:rsid w:val="78D038F5"/>
    <w:rsid w:val="78D608F9"/>
    <w:rsid w:val="78D7387C"/>
    <w:rsid w:val="78D856CF"/>
    <w:rsid w:val="79404F19"/>
    <w:rsid w:val="794C7617"/>
    <w:rsid w:val="795B13AA"/>
    <w:rsid w:val="795D31F5"/>
    <w:rsid w:val="79611A95"/>
    <w:rsid w:val="79757554"/>
    <w:rsid w:val="798D67CE"/>
    <w:rsid w:val="7990031C"/>
    <w:rsid w:val="79A46626"/>
    <w:rsid w:val="79ED17C4"/>
    <w:rsid w:val="7A0B19CB"/>
    <w:rsid w:val="7A140880"/>
    <w:rsid w:val="7A2655EC"/>
    <w:rsid w:val="7A287E87"/>
    <w:rsid w:val="7A395308"/>
    <w:rsid w:val="7A4B7AFA"/>
    <w:rsid w:val="7A4D082D"/>
    <w:rsid w:val="7A5D7213"/>
    <w:rsid w:val="7A6D3679"/>
    <w:rsid w:val="7A723FD2"/>
    <w:rsid w:val="7A79040F"/>
    <w:rsid w:val="7A8157E9"/>
    <w:rsid w:val="7A95766B"/>
    <w:rsid w:val="7A9E639B"/>
    <w:rsid w:val="7AA131D3"/>
    <w:rsid w:val="7AEF3666"/>
    <w:rsid w:val="7B0348CE"/>
    <w:rsid w:val="7B0408F4"/>
    <w:rsid w:val="7B0C77A9"/>
    <w:rsid w:val="7B637EF6"/>
    <w:rsid w:val="7B857468"/>
    <w:rsid w:val="7B976248"/>
    <w:rsid w:val="7BA45C33"/>
    <w:rsid w:val="7BCF1CF7"/>
    <w:rsid w:val="7C0E5E5D"/>
    <w:rsid w:val="7C260F94"/>
    <w:rsid w:val="7C706E44"/>
    <w:rsid w:val="7C8B0BA1"/>
    <w:rsid w:val="7CA13F21"/>
    <w:rsid w:val="7CC062CD"/>
    <w:rsid w:val="7CD8602D"/>
    <w:rsid w:val="7CE25BEE"/>
    <w:rsid w:val="7D0C3A90"/>
    <w:rsid w:val="7D1B3CD3"/>
    <w:rsid w:val="7D312424"/>
    <w:rsid w:val="7D3D0E52"/>
    <w:rsid w:val="7D446953"/>
    <w:rsid w:val="7D621902"/>
    <w:rsid w:val="7DAF05D6"/>
    <w:rsid w:val="7DBC3708"/>
    <w:rsid w:val="7DEB26BF"/>
    <w:rsid w:val="7DEB608A"/>
    <w:rsid w:val="7E325A29"/>
    <w:rsid w:val="7E4F6F06"/>
    <w:rsid w:val="7EFE1F88"/>
    <w:rsid w:val="7F16739B"/>
    <w:rsid w:val="7F1A3B5F"/>
    <w:rsid w:val="7F8656F5"/>
    <w:rsid w:val="7FBA75D6"/>
    <w:rsid w:val="7FBB1E9C"/>
    <w:rsid w:val="7FC33B9D"/>
    <w:rsid w:val="7FD20E4A"/>
    <w:rsid w:val="7FFC42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600" w:lineRule="exact"/>
      <w:ind w:firstLine="200" w:firstLineChars="200"/>
      <w:jc w:val="both"/>
    </w:pPr>
    <w:rPr>
      <w:rFonts w:ascii="Times New Roman" w:hAnsi="Times New Roman" w:eastAsia="仿宋" w:cs="Times New Roman"/>
      <w:kern w:val="2"/>
      <w:sz w:val="32"/>
      <w:szCs w:val="24"/>
      <w:lang w:val="en-US" w:eastAsia="zh-CN" w:bidi="ar-SA"/>
    </w:rPr>
  </w:style>
  <w:style w:type="paragraph" w:styleId="4">
    <w:name w:val="heading 1"/>
    <w:basedOn w:val="1"/>
    <w:next w:val="1"/>
    <w:link w:val="40"/>
    <w:qFormat/>
    <w:uiPriority w:val="0"/>
    <w:pPr>
      <w:keepNext/>
      <w:keepLines/>
      <w:spacing w:before="240" w:after="360" w:line="560" w:lineRule="exact"/>
      <w:ind w:firstLine="0" w:firstLineChars="0"/>
      <w:jc w:val="center"/>
      <w:outlineLvl w:val="0"/>
    </w:pPr>
    <w:rPr>
      <w:rFonts w:ascii="Times New Roman" w:hAnsi="Times New Roman" w:eastAsia="黑体"/>
      <w:b/>
      <w:bCs/>
      <w:kern w:val="44"/>
      <w:sz w:val="36"/>
      <w:szCs w:val="44"/>
    </w:rPr>
  </w:style>
  <w:style w:type="paragraph" w:styleId="5">
    <w:name w:val="heading 2"/>
    <w:basedOn w:val="1"/>
    <w:next w:val="1"/>
    <w:link w:val="42"/>
    <w:unhideWhenUsed/>
    <w:qFormat/>
    <w:uiPriority w:val="0"/>
    <w:pPr>
      <w:keepNext/>
      <w:keepLines/>
      <w:spacing w:before="240" w:after="240" w:line="580" w:lineRule="exact"/>
      <w:ind w:firstLine="0" w:firstLineChars="0"/>
      <w:jc w:val="left"/>
      <w:outlineLvl w:val="1"/>
    </w:pPr>
    <w:rPr>
      <w:rFonts w:ascii="Times New Roman" w:hAnsi="Times New Roman" w:eastAsia="黑体"/>
      <w:b/>
      <w:bCs/>
      <w:szCs w:val="32"/>
    </w:rPr>
  </w:style>
  <w:style w:type="paragraph" w:styleId="6">
    <w:name w:val="heading 3"/>
    <w:basedOn w:val="1"/>
    <w:next w:val="1"/>
    <w:link w:val="41"/>
    <w:unhideWhenUsed/>
    <w:qFormat/>
    <w:uiPriority w:val="0"/>
    <w:pPr>
      <w:keepNext/>
      <w:keepLines/>
      <w:spacing w:before="160" w:after="160" w:line="360" w:lineRule="auto"/>
      <w:ind w:firstLine="0" w:firstLineChars="0"/>
      <w:outlineLvl w:val="2"/>
    </w:pPr>
    <w:rPr>
      <w:rFonts w:ascii="Times New Roman" w:hAnsi="Times New Roman" w:eastAsia="宋体"/>
      <w:b/>
      <w:bCs/>
      <w:sz w:val="30"/>
      <w:szCs w:val="32"/>
    </w:rPr>
  </w:style>
  <w:style w:type="paragraph" w:styleId="7">
    <w:name w:val="heading 4"/>
    <w:basedOn w:val="1"/>
    <w:next w:val="1"/>
    <w:link w:val="58"/>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link w:val="83"/>
    <w:qFormat/>
    <w:uiPriority w:val="0"/>
    <w:pPr>
      <w:adjustRightInd/>
      <w:snapToGrid/>
      <w:spacing w:line="500" w:lineRule="exact"/>
      <w:ind w:firstLine="560"/>
    </w:pPr>
    <w:rPr>
      <w:rFonts w:eastAsia="宋体"/>
      <w:sz w:val="28"/>
      <w:szCs w:val="28"/>
    </w:rPr>
  </w:style>
  <w:style w:type="paragraph" w:styleId="8">
    <w:name w:val="toc 7"/>
    <w:basedOn w:val="1"/>
    <w:next w:val="1"/>
    <w:unhideWhenUsed/>
    <w:qFormat/>
    <w:uiPriority w:val="39"/>
    <w:pPr>
      <w:ind w:left="1920"/>
      <w:jc w:val="left"/>
    </w:pPr>
    <w:rPr>
      <w:rFonts w:ascii="Calibri" w:hAnsi="Calibri"/>
      <w:sz w:val="18"/>
      <w:szCs w:val="18"/>
    </w:rPr>
  </w:style>
  <w:style w:type="paragraph" w:styleId="9">
    <w:name w:val="table of authorities"/>
    <w:basedOn w:val="1"/>
    <w:next w:val="1"/>
    <w:unhideWhenUsed/>
    <w:qFormat/>
    <w:uiPriority w:val="99"/>
    <w:pPr>
      <w:adjustRightInd/>
      <w:snapToGrid/>
      <w:spacing w:line="360" w:lineRule="auto"/>
      <w:ind w:left="420" w:leftChars="200" w:firstLine="1040"/>
    </w:pPr>
    <w:rPr>
      <w:rFonts w:ascii="Calibri" w:hAnsi="Calibri" w:eastAsia="宋体"/>
      <w:sz w:val="28"/>
      <w:szCs w:val="22"/>
    </w:rPr>
  </w:style>
  <w:style w:type="paragraph" w:styleId="10">
    <w:name w:val="Normal Indent"/>
    <w:basedOn w:val="1"/>
    <w:link w:val="86"/>
    <w:qFormat/>
    <w:uiPriority w:val="0"/>
    <w:pPr>
      <w:adjustRightInd/>
      <w:snapToGrid/>
      <w:spacing w:line="240" w:lineRule="auto"/>
      <w:ind w:firstLine="420"/>
    </w:pPr>
    <w:rPr>
      <w:rFonts w:eastAsia="宋体"/>
      <w:sz w:val="21"/>
      <w:szCs w:val="20"/>
    </w:rPr>
  </w:style>
  <w:style w:type="paragraph" w:styleId="11">
    <w:name w:val="caption"/>
    <w:basedOn w:val="1"/>
    <w:next w:val="1"/>
    <w:qFormat/>
    <w:uiPriority w:val="0"/>
    <w:rPr>
      <w:rFonts w:eastAsia="新宋体" w:cs="Arial"/>
      <w:szCs w:val="21"/>
    </w:rPr>
  </w:style>
  <w:style w:type="paragraph" w:styleId="12">
    <w:name w:val="Document Map"/>
    <w:basedOn w:val="1"/>
    <w:link w:val="81"/>
    <w:semiHidden/>
    <w:unhideWhenUsed/>
    <w:qFormat/>
    <w:uiPriority w:val="99"/>
    <w:rPr>
      <w:rFonts w:ascii="宋体" w:eastAsia="宋体"/>
      <w:sz w:val="18"/>
      <w:szCs w:val="18"/>
    </w:rPr>
  </w:style>
  <w:style w:type="paragraph" w:styleId="13">
    <w:name w:val="annotation text"/>
    <w:basedOn w:val="1"/>
    <w:link w:val="96"/>
    <w:semiHidden/>
    <w:unhideWhenUsed/>
    <w:qFormat/>
    <w:uiPriority w:val="99"/>
    <w:pPr>
      <w:jc w:val="left"/>
    </w:pPr>
  </w:style>
  <w:style w:type="paragraph" w:styleId="14">
    <w:name w:val="Body Text"/>
    <w:basedOn w:val="1"/>
    <w:next w:val="1"/>
    <w:link w:val="73"/>
    <w:qFormat/>
    <w:uiPriority w:val="99"/>
    <w:pPr>
      <w:autoSpaceDE w:val="0"/>
      <w:autoSpaceDN w:val="0"/>
      <w:adjustRightInd/>
      <w:snapToGrid/>
      <w:spacing w:line="240" w:lineRule="auto"/>
      <w:ind w:firstLine="0" w:firstLineChars="0"/>
      <w:jc w:val="left"/>
    </w:pPr>
    <w:rPr>
      <w:rFonts w:ascii="宋体" w:hAnsi="宋体" w:eastAsia="宋体" w:cs="宋体"/>
      <w:kern w:val="0"/>
      <w:sz w:val="24"/>
    </w:rPr>
  </w:style>
  <w:style w:type="paragraph" w:styleId="15">
    <w:name w:val="toc 5"/>
    <w:basedOn w:val="1"/>
    <w:next w:val="1"/>
    <w:unhideWhenUsed/>
    <w:qFormat/>
    <w:uiPriority w:val="39"/>
    <w:pPr>
      <w:ind w:left="1280"/>
      <w:jc w:val="left"/>
    </w:pPr>
    <w:rPr>
      <w:rFonts w:ascii="Calibri" w:hAnsi="Calibri"/>
      <w:sz w:val="18"/>
      <w:szCs w:val="18"/>
    </w:rPr>
  </w:style>
  <w:style w:type="paragraph" w:styleId="16">
    <w:name w:val="toc 3"/>
    <w:basedOn w:val="1"/>
    <w:next w:val="1"/>
    <w:unhideWhenUsed/>
    <w:qFormat/>
    <w:uiPriority w:val="39"/>
    <w:pPr>
      <w:jc w:val="left"/>
    </w:pPr>
    <w:rPr>
      <w:rFonts w:ascii="Calibri" w:hAnsi="Calibri" w:eastAsia="楷体"/>
      <w:iCs/>
      <w:sz w:val="28"/>
      <w:szCs w:val="20"/>
    </w:rPr>
  </w:style>
  <w:style w:type="paragraph" w:styleId="17">
    <w:name w:val="Plain Text"/>
    <w:basedOn w:val="1"/>
    <w:link w:val="61"/>
    <w:unhideWhenUsed/>
    <w:qFormat/>
    <w:uiPriority w:val="99"/>
    <w:pPr>
      <w:adjustRightInd/>
      <w:snapToGrid/>
      <w:spacing w:line="520" w:lineRule="exact"/>
    </w:pPr>
    <w:rPr>
      <w:rFonts w:ascii="宋体" w:hAnsi="Courier New" w:eastAsia="宋体" w:cs="Courier New"/>
      <w:color w:val="000000" w:themeColor="text1"/>
      <w:sz w:val="24"/>
      <w:szCs w:val="21"/>
      <w14:textFill>
        <w14:solidFill>
          <w14:schemeClr w14:val="tx1"/>
        </w14:solidFill>
      </w14:textFill>
    </w:rPr>
  </w:style>
  <w:style w:type="paragraph" w:styleId="18">
    <w:name w:val="toc 8"/>
    <w:basedOn w:val="1"/>
    <w:next w:val="1"/>
    <w:unhideWhenUsed/>
    <w:qFormat/>
    <w:uiPriority w:val="39"/>
    <w:pPr>
      <w:ind w:left="2240"/>
      <w:jc w:val="left"/>
    </w:pPr>
    <w:rPr>
      <w:rFonts w:ascii="Calibri" w:hAnsi="Calibri"/>
      <w:sz w:val="18"/>
      <w:szCs w:val="18"/>
    </w:rPr>
  </w:style>
  <w:style w:type="paragraph" w:styleId="19">
    <w:name w:val="Body Text Indent 2"/>
    <w:basedOn w:val="1"/>
    <w:link w:val="99"/>
    <w:semiHidden/>
    <w:qFormat/>
    <w:uiPriority w:val="0"/>
    <w:pPr>
      <w:adjustRightInd/>
      <w:snapToGrid/>
      <w:spacing w:after="120" w:line="480" w:lineRule="auto"/>
      <w:ind w:left="420" w:leftChars="200" w:firstLine="0" w:firstLineChars="0"/>
    </w:pPr>
    <w:rPr>
      <w:rFonts w:eastAsia="宋体"/>
      <w:sz w:val="21"/>
    </w:rPr>
  </w:style>
  <w:style w:type="paragraph" w:styleId="20">
    <w:name w:val="Balloon Text"/>
    <w:basedOn w:val="1"/>
    <w:link w:val="50"/>
    <w:unhideWhenUsed/>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jc w:val="left"/>
    </w:pPr>
    <w:rPr>
      <w:rFonts w:ascii="Calibri" w:hAnsi="Calibri"/>
      <w:kern w:val="0"/>
      <w:sz w:val="18"/>
      <w:szCs w:val="18"/>
    </w:rPr>
  </w:style>
  <w:style w:type="paragraph" w:styleId="22">
    <w:name w:val="header"/>
    <w:basedOn w:val="1"/>
    <w:next w:val="14"/>
    <w:link w:val="48"/>
    <w:unhideWhenUsed/>
    <w:qFormat/>
    <w:uiPriority w:val="0"/>
    <w:pPr>
      <w:pBdr>
        <w:bottom w:val="single" w:color="auto" w:sz="6" w:space="1"/>
      </w:pBdr>
      <w:tabs>
        <w:tab w:val="center" w:pos="4153"/>
        <w:tab w:val="right" w:pos="8306"/>
      </w:tabs>
      <w:jc w:val="center"/>
    </w:pPr>
    <w:rPr>
      <w:rFonts w:ascii="Calibri" w:hAnsi="Calibri"/>
      <w:kern w:val="0"/>
      <w:sz w:val="18"/>
      <w:szCs w:val="18"/>
    </w:rPr>
  </w:style>
  <w:style w:type="paragraph" w:styleId="23">
    <w:name w:val="toc 1"/>
    <w:basedOn w:val="1"/>
    <w:next w:val="1"/>
    <w:qFormat/>
    <w:uiPriority w:val="39"/>
    <w:pPr>
      <w:ind w:firstLine="0" w:firstLineChars="0"/>
      <w:jc w:val="left"/>
    </w:pPr>
    <w:rPr>
      <w:rFonts w:ascii="Calibri" w:hAnsi="Calibri" w:eastAsia="黑体"/>
      <w:bCs/>
      <w:caps/>
      <w:sz w:val="28"/>
      <w:szCs w:val="20"/>
    </w:rPr>
  </w:style>
  <w:style w:type="paragraph" w:styleId="24">
    <w:name w:val="toc 4"/>
    <w:basedOn w:val="1"/>
    <w:next w:val="1"/>
    <w:unhideWhenUsed/>
    <w:qFormat/>
    <w:uiPriority w:val="39"/>
    <w:pPr>
      <w:ind w:left="960"/>
      <w:jc w:val="left"/>
    </w:pPr>
    <w:rPr>
      <w:rFonts w:ascii="Calibri" w:hAnsi="Calibri"/>
      <w:sz w:val="18"/>
      <w:szCs w:val="18"/>
    </w:rPr>
  </w:style>
  <w:style w:type="paragraph" w:styleId="25">
    <w:name w:val="toc 6"/>
    <w:basedOn w:val="1"/>
    <w:next w:val="1"/>
    <w:unhideWhenUsed/>
    <w:qFormat/>
    <w:uiPriority w:val="39"/>
    <w:pPr>
      <w:ind w:left="1600"/>
      <w:jc w:val="left"/>
    </w:pPr>
    <w:rPr>
      <w:rFonts w:ascii="Calibri" w:hAnsi="Calibri"/>
      <w:sz w:val="18"/>
      <w:szCs w:val="18"/>
    </w:rPr>
  </w:style>
  <w:style w:type="paragraph" w:styleId="26">
    <w:name w:val="toc 2"/>
    <w:basedOn w:val="1"/>
    <w:next w:val="1"/>
    <w:qFormat/>
    <w:uiPriority w:val="39"/>
    <w:pPr>
      <w:ind w:firstLine="0" w:firstLineChars="0"/>
      <w:jc w:val="left"/>
    </w:pPr>
    <w:rPr>
      <w:rFonts w:ascii="Calibri" w:hAnsi="Calibri" w:eastAsia="黑体"/>
      <w:smallCaps/>
      <w:sz w:val="28"/>
      <w:szCs w:val="20"/>
    </w:rPr>
  </w:style>
  <w:style w:type="paragraph" w:styleId="27">
    <w:name w:val="toc 9"/>
    <w:basedOn w:val="1"/>
    <w:next w:val="1"/>
    <w:unhideWhenUsed/>
    <w:qFormat/>
    <w:uiPriority w:val="39"/>
    <w:pPr>
      <w:ind w:left="2560"/>
      <w:jc w:val="left"/>
    </w:pPr>
    <w:rPr>
      <w:rFonts w:ascii="Calibri" w:hAnsi="Calibri"/>
      <w:sz w:val="18"/>
      <w:szCs w:val="18"/>
    </w:rPr>
  </w:style>
  <w:style w:type="paragraph" w:styleId="28">
    <w:name w:val="HTML Preformatted"/>
    <w:basedOn w:val="1"/>
    <w:link w:val="4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styleId="29">
    <w:name w:val="Normal (Web)"/>
    <w:basedOn w:val="1"/>
    <w:qFormat/>
    <w:uiPriority w:val="99"/>
    <w:pPr>
      <w:spacing w:before="0" w:beforeAutospacing="1" w:after="0" w:afterAutospacing="1"/>
      <w:ind w:left="0" w:right="0"/>
      <w:jc w:val="left"/>
    </w:pPr>
    <w:rPr>
      <w:kern w:val="0"/>
      <w:sz w:val="24"/>
      <w:lang w:val="en-US" w:eastAsia="zh-CN" w:bidi="ar"/>
    </w:rPr>
  </w:style>
  <w:style w:type="paragraph" w:styleId="30">
    <w:name w:val="annotation subject"/>
    <w:basedOn w:val="13"/>
    <w:next w:val="13"/>
    <w:link w:val="97"/>
    <w:semiHidden/>
    <w:unhideWhenUsed/>
    <w:qFormat/>
    <w:uiPriority w:val="99"/>
    <w:rPr>
      <w:b/>
      <w:bCs/>
    </w:rPr>
  </w:style>
  <w:style w:type="paragraph" w:styleId="31">
    <w:name w:val="Body Text First Indent"/>
    <w:basedOn w:val="14"/>
    <w:next w:val="10"/>
    <w:link w:val="94"/>
    <w:qFormat/>
    <w:uiPriority w:val="99"/>
    <w:pPr>
      <w:autoSpaceDE/>
      <w:autoSpaceDN/>
      <w:spacing w:after="120"/>
      <w:ind w:firstLine="420" w:firstLineChars="100"/>
      <w:jc w:val="both"/>
    </w:pPr>
    <w:rPr>
      <w:rFonts w:asciiTheme="minorHAnsi" w:hAnsiTheme="minorHAnsi" w:eastAsiaTheme="minorEastAsia" w:cstheme="minorBidi"/>
      <w:kern w:val="2"/>
      <w:sz w:val="21"/>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bCs/>
    </w:rPr>
  </w:style>
  <w:style w:type="character" w:styleId="36">
    <w:name w:val="page number"/>
    <w:qFormat/>
    <w:uiPriority w:val="0"/>
    <w:rPr>
      <w:rFonts w:cs="Times New Roman"/>
    </w:rPr>
  </w:style>
  <w:style w:type="character" w:styleId="37">
    <w:name w:val="Emphasis"/>
    <w:basedOn w:val="34"/>
    <w:qFormat/>
    <w:uiPriority w:val="20"/>
    <w:rPr>
      <w:i/>
      <w:iCs/>
    </w:rPr>
  </w:style>
  <w:style w:type="character" w:styleId="38">
    <w:name w:val="Hyperlink"/>
    <w:qFormat/>
    <w:uiPriority w:val="99"/>
    <w:rPr>
      <w:color w:val="0000FF"/>
      <w:u w:val="single"/>
    </w:rPr>
  </w:style>
  <w:style w:type="character" w:styleId="39">
    <w:name w:val="annotation reference"/>
    <w:basedOn w:val="34"/>
    <w:semiHidden/>
    <w:unhideWhenUsed/>
    <w:qFormat/>
    <w:uiPriority w:val="99"/>
    <w:rPr>
      <w:sz w:val="21"/>
      <w:szCs w:val="21"/>
    </w:rPr>
  </w:style>
  <w:style w:type="character" w:customStyle="1" w:styleId="40">
    <w:name w:val="标题 1 Char"/>
    <w:basedOn w:val="34"/>
    <w:link w:val="4"/>
    <w:qFormat/>
    <w:uiPriority w:val="0"/>
    <w:rPr>
      <w:rFonts w:ascii="Times New Roman" w:hAnsi="Times New Roman" w:eastAsia="黑体"/>
      <w:b/>
      <w:bCs/>
      <w:kern w:val="44"/>
      <w:sz w:val="36"/>
      <w:szCs w:val="44"/>
    </w:rPr>
  </w:style>
  <w:style w:type="character" w:customStyle="1" w:styleId="41">
    <w:name w:val="标题 3 Char"/>
    <w:basedOn w:val="34"/>
    <w:link w:val="6"/>
    <w:qFormat/>
    <w:uiPriority w:val="0"/>
    <w:rPr>
      <w:rFonts w:ascii="Times New Roman" w:hAnsi="Times New Roman" w:eastAsia="宋体"/>
      <w:b/>
      <w:bCs/>
      <w:kern w:val="2"/>
      <w:sz w:val="30"/>
      <w:szCs w:val="32"/>
    </w:rPr>
  </w:style>
  <w:style w:type="character" w:customStyle="1" w:styleId="42">
    <w:name w:val="标题 2 Char"/>
    <w:basedOn w:val="34"/>
    <w:link w:val="5"/>
    <w:qFormat/>
    <w:uiPriority w:val="0"/>
    <w:rPr>
      <w:rFonts w:ascii="Times New Roman" w:hAnsi="Times New Roman" w:eastAsia="黑体"/>
      <w:b/>
      <w:bCs/>
      <w:kern w:val="2"/>
      <w:sz w:val="32"/>
      <w:szCs w:val="32"/>
    </w:rPr>
  </w:style>
  <w:style w:type="paragraph" w:customStyle="1" w:styleId="43">
    <w:name w:val="表格"/>
    <w:basedOn w:val="1"/>
    <w:link w:val="154"/>
    <w:qFormat/>
    <w:uiPriority w:val="0"/>
    <w:pPr>
      <w:adjustRightInd/>
      <w:snapToGrid/>
      <w:spacing w:line="360" w:lineRule="exact"/>
      <w:ind w:firstLine="0" w:firstLineChars="0"/>
      <w:jc w:val="center"/>
    </w:pPr>
    <w:rPr>
      <w:rFonts w:eastAsia="宋体"/>
      <w:kern w:val="0"/>
      <w:sz w:val="21"/>
      <w:szCs w:val="21"/>
    </w:rPr>
  </w:style>
  <w:style w:type="paragraph" w:customStyle="1" w:styleId="44">
    <w:name w:val="TOC 标题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5">
    <w:name w:val="列出段落1"/>
    <w:basedOn w:val="1"/>
    <w:qFormat/>
    <w:uiPriority w:val="34"/>
    <w:pPr>
      <w:ind w:firstLine="420"/>
    </w:pPr>
  </w:style>
  <w:style w:type="paragraph" w:customStyle="1" w:styleId="46">
    <w:name w:val="TOC 标题2"/>
    <w:basedOn w:val="4"/>
    <w:next w:val="1"/>
    <w:unhideWhenUsed/>
    <w:qFormat/>
    <w:uiPriority w:val="39"/>
    <w:pPr>
      <w:widowControl/>
      <w:adjustRightInd/>
      <w:snapToGrid/>
      <w:spacing w:after="0" w:line="259" w:lineRule="auto"/>
      <w:jc w:val="left"/>
      <w:outlineLvl w:val="9"/>
    </w:pPr>
    <w:rPr>
      <w:rFonts w:ascii="Calibri Light" w:hAnsi="Calibri Light" w:eastAsia="宋体" w:cs="黑体"/>
      <w:bCs w:val="0"/>
      <w:color w:val="2D73B3"/>
      <w:kern w:val="0"/>
      <w:sz w:val="32"/>
      <w:szCs w:val="32"/>
    </w:rPr>
  </w:style>
  <w:style w:type="character" w:customStyle="1" w:styleId="47">
    <w:name w:val="页脚 Char1"/>
    <w:basedOn w:val="34"/>
    <w:link w:val="21"/>
    <w:qFormat/>
    <w:uiPriority w:val="0"/>
    <w:rPr>
      <w:rFonts w:ascii="Calibri" w:hAnsi="Calibri" w:eastAsia="仿宋" w:cs="Times New Roman"/>
      <w:kern w:val="0"/>
      <w:sz w:val="18"/>
      <w:szCs w:val="18"/>
    </w:rPr>
  </w:style>
  <w:style w:type="character" w:customStyle="1" w:styleId="48">
    <w:name w:val="页眉 Char1"/>
    <w:basedOn w:val="34"/>
    <w:link w:val="22"/>
    <w:qFormat/>
    <w:uiPriority w:val="0"/>
    <w:rPr>
      <w:rFonts w:ascii="Calibri" w:hAnsi="Calibri" w:eastAsia="仿宋" w:cs="Times New Roman"/>
      <w:kern w:val="0"/>
      <w:sz w:val="18"/>
      <w:szCs w:val="18"/>
    </w:rPr>
  </w:style>
  <w:style w:type="character" w:customStyle="1" w:styleId="49">
    <w:name w:val="HTML 预设格式 Char"/>
    <w:basedOn w:val="34"/>
    <w:link w:val="28"/>
    <w:qFormat/>
    <w:uiPriority w:val="99"/>
    <w:rPr>
      <w:rFonts w:ascii="宋体" w:hAnsi="宋体" w:eastAsia="仿宋" w:cs="Times New Roman"/>
      <w:color w:val="000000"/>
      <w:kern w:val="0"/>
      <w:sz w:val="24"/>
      <w:szCs w:val="24"/>
    </w:rPr>
  </w:style>
  <w:style w:type="character" w:customStyle="1" w:styleId="50">
    <w:name w:val="批注框文本 Char"/>
    <w:basedOn w:val="34"/>
    <w:link w:val="20"/>
    <w:qFormat/>
    <w:uiPriority w:val="99"/>
    <w:rPr>
      <w:rFonts w:ascii="Times New Roman" w:hAnsi="Times New Roman" w:eastAsia="仿宋" w:cs="Times New Roman"/>
      <w:sz w:val="18"/>
      <w:szCs w:val="18"/>
    </w:rPr>
  </w:style>
  <w:style w:type="paragraph" w:styleId="51">
    <w:name w:val="List Paragraph"/>
    <w:basedOn w:val="1"/>
    <w:qFormat/>
    <w:uiPriority w:val="34"/>
    <w:pPr>
      <w:ind w:firstLine="420"/>
    </w:pPr>
  </w:style>
  <w:style w:type="paragraph" w:customStyle="1" w:styleId="52">
    <w:name w:val="sl-标题3"/>
    <w:basedOn w:val="1"/>
    <w:qFormat/>
    <w:uiPriority w:val="0"/>
    <w:pPr>
      <w:adjustRightInd/>
      <w:snapToGrid/>
      <w:spacing w:before="120" w:after="120" w:line="500" w:lineRule="exact"/>
      <w:ind w:firstLine="0" w:firstLineChars="0"/>
      <w:outlineLvl w:val="2"/>
    </w:pPr>
    <w:rPr>
      <w:rFonts w:eastAsia="黑体"/>
      <w:sz w:val="30"/>
      <w:szCs w:val="22"/>
    </w:rPr>
  </w:style>
  <w:style w:type="character" w:customStyle="1" w:styleId="53">
    <w:name w:val="页眉 Char"/>
    <w:qFormat/>
    <w:uiPriority w:val="99"/>
    <w:rPr>
      <w:rFonts w:eastAsia="仿宋_GB2312"/>
      <w:kern w:val="2"/>
      <w:sz w:val="18"/>
      <w:szCs w:val="18"/>
    </w:rPr>
  </w:style>
  <w:style w:type="character" w:customStyle="1" w:styleId="54">
    <w:name w:val="页脚 Char"/>
    <w:qFormat/>
    <w:uiPriority w:val="99"/>
    <w:rPr>
      <w:rFonts w:eastAsia="仿宋_GB2312"/>
      <w:kern w:val="2"/>
      <w:sz w:val="18"/>
      <w:szCs w:val="18"/>
    </w:rPr>
  </w:style>
  <w:style w:type="paragraph" w:customStyle="1" w:styleId="55">
    <w:name w:val="sj-表名图名"/>
    <w:basedOn w:val="1"/>
    <w:qFormat/>
    <w:uiPriority w:val="0"/>
    <w:pPr>
      <w:adjustRightInd/>
      <w:snapToGrid/>
      <w:spacing w:line="440" w:lineRule="exact"/>
      <w:ind w:firstLine="0" w:firstLineChars="0"/>
      <w:jc w:val="center"/>
    </w:pPr>
    <w:rPr>
      <w:rFonts w:eastAsia="黑体"/>
      <w:sz w:val="21"/>
      <w:szCs w:val="22"/>
    </w:rPr>
  </w:style>
  <w:style w:type="paragraph" w:customStyle="1" w:styleId="56">
    <w:name w:val="sj-表格文字"/>
    <w:basedOn w:val="1"/>
    <w:qFormat/>
    <w:uiPriority w:val="0"/>
    <w:pPr>
      <w:adjustRightInd/>
      <w:snapToGrid/>
      <w:spacing w:line="240" w:lineRule="auto"/>
      <w:ind w:firstLine="0" w:firstLineChars="0"/>
    </w:pPr>
    <w:rPr>
      <w:rFonts w:eastAsia="宋体"/>
      <w:sz w:val="21"/>
      <w:szCs w:val="22"/>
    </w:rPr>
  </w:style>
  <w:style w:type="character" w:customStyle="1" w:styleId="57">
    <w:name w:val="未处理的提及1"/>
    <w:basedOn w:val="34"/>
    <w:semiHidden/>
    <w:unhideWhenUsed/>
    <w:qFormat/>
    <w:uiPriority w:val="99"/>
    <w:rPr>
      <w:color w:val="605E5C"/>
      <w:shd w:val="clear" w:color="auto" w:fill="E1DFDD"/>
    </w:rPr>
  </w:style>
  <w:style w:type="character" w:customStyle="1" w:styleId="58">
    <w:name w:val="标题 4 Char"/>
    <w:basedOn w:val="34"/>
    <w:link w:val="7"/>
    <w:qFormat/>
    <w:uiPriority w:val="9"/>
    <w:rPr>
      <w:rFonts w:asciiTheme="majorHAnsi" w:hAnsiTheme="majorHAnsi" w:eastAsiaTheme="majorEastAsia" w:cstheme="majorBidi"/>
      <w:b/>
      <w:bCs/>
      <w:kern w:val="2"/>
      <w:sz w:val="28"/>
      <w:szCs w:val="28"/>
    </w:rPr>
  </w:style>
  <w:style w:type="character" w:customStyle="1" w:styleId="59">
    <w:name w:val="未处理的提及2"/>
    <w:basedOn w:val="34"/>
    <w:semiHidden/>
    <w:unhideWhenUsed/>
    <w:qFormat/>
    <w:uiPriority w:val="99"/>
    <w:rPr>
      <w:color w:val="605E5C"/>
      <w:shd w:val="clear" w:color="auto" w:fill="E1DFDD"/>
    </w:rPr>
  </w:style>
  <w:style w:type="paragraph" w:customStyle="1" w:styleId="60">
    <w:name w:val="内容"/>
    <w:basedOn w:val="1"/>
    <w:qFormat/>
    <w:uiPriority w:val="0"/>
    <w:pPr>
      <w:adjustRightInd/>
      <w:snapToGrid/>
      <w:spacing w:line="240" w:lineRule="auto"/>
      <w:ind w:firstLine="420" w:firstLineChars="0"/>
    </w:pPr>
    <w:rPr>
      <w:rFonts w:ascii="宋体" w:hAnsi="宋体" w:eastAsia="宋体"/>
      <w:sz w:val="21"/>
      <w:szCs w:val="20"/>
    </w:rPr>
  </w:style>
  <w:style w:type="character" w:customStyle="1" w:styleId="61">
    <w:name w:val="纯文本 Char"/>
    <w:basedOn w:val="34"/>
    <w:link w:val="17"/>
    <w:qFormat/>
    <w:uiPriority w:val="99"/>
    <w:rPr>
      <w:rFonts w:ascii="宋体" w:hAnsi="Courier New" w:cs="Courier New"/>
      <w:color w:val="000000" w:themeColor="text1"/>
      <w:kern w:val="2"/>
      <w:sz w:val="24"/>
      <w:szCs w:val="21"/>
      <w14:textFill>
        <w14:solidFill>
          <w14:schemeClr w14:val="tx1"/>
        </w14:solidFill>
      </w14:textFill>
    </w:rPr>
  </w:style>
  <w:style w:type="paragraph" w:customStyle="1" w:styleId="62">
    <w:name w:val="规划报告-正文"/>
    <w:link w:val="63"/>
    <w:qFormat/>
    <w:uiPriority w:val="0"/>
    <w:pPr>
      <w:widowControl w:val="0"/>
      <w:adjustRightInd w:val="0"/>
      <w:spacing w:line="400" w:lineRule="exact"/>
      <w:ind w:firstLine="200" w:firstLineChars="200"/>
      <w:jc w:val="both"/>
    </w:pPr>
    <w:rPr>
      <w:rFonts w:ascii="楷体" w:hAnsi="仿宋" w:eastAsia="楷体" w:cs="仿宋_GB2312"/>
      <w:color w:val="000000"/>
      <w:kern w:val="2"/>
      <w:sz w:val="28"/>
      <w:szCs w:val="32"/>
      <w:lang w:val="en-US" w:eastAsia="zh-CN" w:bidi="ar-SA"/>
    </w:rPr>
  </w:style>
  <w:style w:type="character" w:customStyle="1" w:styleId="63">
    <w:name w:val="规划报告-正文 Char"/>
    <w:link w:val="62"/>
    <w:qFormat/>
    <w:uiPriority w:val="0"/>
    <w:rPr>
      <w:rFonts w:ascii="楷体" w:hAnsi="仿宋" w:eastAsia="楷体" w:cs="仿宋_GB2312"/>
      <w:color w:val="000000"/>
      <w:kern w:val="2"/>
      <w:sz w:val="28"/>
      <w:szCs w:val="32"/>
    </w:rPr>
  </w:style>
  <w:style w:type="character" w:customStyle="1" w:styleId="64">
    <w:name w:val="4号正文 Char1"/>
    <w:link w:val="65"/>
    <w:qFormat/>
    <w:uiPriority w:val="0"/>
    <w:rPr>
      <w:rFonts w:ascii="宋体" w:hAnsi="宋体"/>
      <w:sz w:val="28"/>
    </w:rPr>
  </w:style>
  <w:style w:type="paragraph" w:customStyle="1" w:styleId="65">
    <w:name w:val="4号正文"/>
    <w:basedOn w:val="1"/>
    <w:link w:val="64"/>
    <w:qFormat/>
    <w:uiPriority w:val="0"/>
    <w:pPr>
      <w:widowControl/>
      <w:adjustRightInd/>
      <w:snapToGrid/>
      <w:spacing w:before="120" w:line="240" w:lineRule="auto"/>
      <w:jc w:val="left"/>
    </w:pPr>
    <w:rPr>
      <w:rFonts w:ascii="宋体" w:hAnsi="宋体" w:eastAsia="宋体"/>
      <w:kern w:val="0"/>
      <w:sz w:val="28"/>
      <w:szCs w:val="20"/>
    </w:rPr>
  </w:style>
  <w:style w:type="paragraph" w:customStyle="1" w:styleId="66">
    <w:name w:val="样式1"/>
    <w:basedOn w:val="1"/>
    <w:link w:val="67"/>
    <w:qFormat/>
    <w:uiPriority w:val="0"/>
    <w:pPr>
      <w:widowControl/>
      <w:adjustRightInd/>
      <w:snapToGrid/>
      <w:spacing w:line="240" w:lineRule="auto"/>
    </w:pPr>
    <w:rPr>
      <w:rFonts w:eastAsia="宋体" w:cs="宋体"/>
      <w:color w:val="000000"/>
      <w:sz w:val="28"/>
      <w:szCs w:val="22"/>
    </w:rPr>
  </w:style>
  <w:style w:type="character" w:customStyle="1" w:styleId="67">
    <w:name w:val="样式1 Char"/>
    <w:basedOn w:val="34"/>
    <w:link w:val="66"/>
    <w:qFormat/>
    <w:uiPriority w:val="0"/>
    <w:rPr>
      <w:rFonts w:cs="宋体"/>
      <w:color w:val="000000"/>
      <w:kern w:val="2"/>
      <w:sz w:val="28"/>
      <w:szCs w:val="22"/>
    </w:rPr>
  </w:style>
  <w:style w:type="paragraph" w:customStyle="1" w:styleId="68">
    <w:name w:val="正文1"/>
    <w:basedOn w:val="1"/>
    <w:link w:val="69"/>
    <w:qFormat/>
    <w:uiPriority w:val="0"/>
    <w:pPr>
      <w:adjustRightInd/>
      <w:snapToGrid/>
      <w:spacing w:line="240" w:lineRule="auto"/>
    </w:pPr>
    <w:rPr>
      <w:rFonts w:eastAsia="宋体" w:asciiTheme="minorHAnsi" w:hAnsiTheme="minorHAnsi" w:cstheme="minorBidi"/>
      <w:sz w:val="28"/>
      <w:szCs w:val="22"/>
    </w:rPr>
  </w:style>
  <w:style w:type="character" w:customStyle="1" w:styleId="69">
    <w:name w:val="正文1 Char"/>
    <w:basedOn w:val="34"/>
    <w:link w:val="68"/>
    <w:qFormat/>
    <w:uiPriority w:val="0"/>
    <w:rPr>
      <w:rFonts w:asciiTheme="minorHAnsi" w:hAnsiTheme="minorHAnsi" w:cstheme="minorBidi"/>
      <w:kern w:val="2"/>
      <w:sz w:val="28"/>
      <w:szCs w:val="22"/>
    </w:rPr>
  </w:style>
  <w:style w:type="paragraph" w:customStyle="1" w:styleId="70">
    <w:name w:val="四号微软雅黑"/>
    <w:basedOn w:val="1"/>
    <w:link w:val="71"/>
    <w:qFormat/>
    <w:uiPriority w:val="0"/>
    <w:pPr>
      <w:adjustRightInd/>
      <w:snapToGrid/>
    </w:pPr>
    <w:rPr>
      <w:rFonts w:ascii="微软雅黑" w:hAnsi="微软雅黑" w:eastAsia="微软雅黑" w:cstheme="minorBidi"/>
      <w:sz w:val="28"/>
      <w:szCs w:val="28"/>
    </w:rPr>
  </w:style>
  <w:style w:type="character" w:customStyle="1" w:styleId="71">
    <w:name w:val="四号微软雅黑 Char"/>
    <w:basedOn w:val="34"/>
    <w:link w:val="70"/>
    <w:qFormat/>
    <w:uiPriority w:val="0"/>
    <w:rPr>
      <w:rFonts w:ascii="微软雅黑" w:hAnsi="微软雅黑" w:eastAsia="微软雅黑" w:cstheme="minorBidi"/>
      <w:kern w:val="2"/>
      <w:sz w:val="28"/>
      <w:szCs w:val="28"/>
    </w:rPr>
  </w:style>
  <w:style w:type="character" w:customStyle="1" w:styleId="72">
    <w:name w:val="NormalCharacter"/>
    <w:qFormat/>
    <w:uiPriority w:val="0"/>
  </w:style>
  <w:style w:type="character" w:customStyle="1" w:styleId="73">
    <w:name w:val="正文文本 Char"/>
    <w:basedOn w:val="34"/>
    <w:link w:val="14"/>
    <w:qFormat/>
    <w:uiPriority w:val="99"/>
    <w:rPr>
      <w:rFonts w:ascii="宋体" w:hAnsi="宋体" w:cs="宋体"/>
      <w:sz w:val="24"/>
      <w:szCs w:val="24"/>
    </w:rPr>
  </w:style>
  <w:style w:type="character" w:customStyle="1" w:styleId="74">
    <w:name w:val="正文文本 字符1"/>
    <w:basedOn w:val="34"/>
    <w:semiHidden/>
    <w:qFormat/>
    <w:uiPriority w:val="99"/>
    <w:rPr>
      <w:rFonts w:eastAsia="仿宋"/>
      <w:kern w:val="2"/>
      <w:sz w:val="32"/>
      <w:szCs w:val="24"/>
    </w:rPr>
  </w:style>
  <w:style w:type="paragraph" w:customStyle="1" w:styleId="75">
    <w:name w:val="目录 21"/>
    <w:basedOn w:val="1"/>
    <w:qFormat/>
    <w:uiPriority w:val="1"/>
    <w:pPr>
      <w:autoSpaceDE w:val="0"/>
      <w:autoSpaceDN w:val="0"/>
      <w:adjustRightInd/>
      <w:snapToGrid/>
      <w:spacing w:before="56" w:line="240" w:lineRule="auto"/>
      <w:ind w:left="1603" w:firstLine="0" w:firstLineChars="0"/>
      <w:jc w:val="left"/>
    </w:pPr>
    <w:rPr>
      <w:rFonts w:ascii="仿宋" w:hAnsi="仿宋" w:cs="仿宋"/>
      <w:kern w:val="0"/>
      <w:sz w:val="20"/>
      <w:szCs w:val="20"/>
    </w:rPr>
  </w:style>
  <w:style w:type="paragraph" w:customStyle="1" w:styleId="76">
    <w:name w:val="Table Paragraph"/>
    <w:basedOn w:val="1"/>
    <w:qFormat/>
    <w:uiPriority w:val="1"/>
    <w:pPr>
      <w:autoSpaceDE w:val="0"/>
      <w:autoSpaceDN w:val="0"/>
      <w:adjustRightInd/>
      <w:snapToGrid/>
      <w:spacing w:line="240" w:lineRule="auto"/>
      <w:ind w:firstLine="0" w:firstLineChars="0"/>
      <w:jc w:val="left"/>
    </w:pPr>
    <w:rPr>
      <w:rFonts w:ascii="Calibri" w:hAnsi="Calibri" w:eastAsia="Calibri" w:cs="Calibri"/>
      <w:kern w:val="0"/>
      <w:sz w:val="22"/>
      <w:szCs w:val="22"/>
    </w:rPr>
  </w:style>
  <w:style w:type="paragraph" w:customStyle="1" w:styleId="77">
    <w:name w:val="标题 4 + 宋体"/>
    <w:basedOn w:val="6"/>
    <w:qFormat/>
    <w:uiPriority w:val="0"/>
    <w:pPr>
      <w:tabs>
        <w:tab w:val="left" w:pos="425"/>
      </w:tabs>
      <w:snapToGrid/>
      <w:spacing w:before="120" w:after="0" w:line="560" w:lineRule="atLeast"/>
      <w:ind w:firstLine="174" w:firstLineChars="62"/>
      <w:contextualSpacing/>
      <w:outlineLvl w:val="3"/>
    </w:pPr>
    <w:rPr>
      <w:rFonts w:ascii="宋体" w:hAnsi="宋体" w:eastAsia="宋体"/>
      <w:bCs w:val="0"/>
      <w:color w:val="000000"/>
      <w:sz w:val="28"/>
      <w:szCs w:val="28"/>
    </w:rPr>
  </w:style>
  <w:style w:type="paragraph" w:customStyle="1" w:styleId="78">
    <w:name w:val="reader-word-layer"/>
    <w:basedOn w:val="1"/>
    <w:qFormat/>
    <w:uiPriority w:val="0"/>
    <w:pPr>
      <w:widowControl/>
      <w:adjustRightInd/>
      <w:snapToGrid/>
      <w:spacing w:before="100" w:beforeAutospacing="1" w:after="100" w:afterAutospacing="1" w:line="240" w:lineRule="auto"/>
      <w:ind w:firstLine="0" w:firstLineChars="0"/>
      <w:jc w:val="left"/>
    </w:pPr>
    <w:rPr>
      <w:rFonts w:ascii="宋体" w:hAnsi="宋体" w:eastAsia="宋体" w:cs="宋体"/>
      <w:kern w:val="0"/>
      <w:sz w:val="24"/>
    </w:rPr>
  </w:style>
  <w:style w:type="paragraph" w:customStyle="1" w:styleId="79">
    <w:name w:val="正文 + 采用"/>
    <w:link w:val="85"/>
    <w:qFormat/>
    <w:uiPriority w:val="0"/>
    <w:pPr>
      <w:spacing w:line="360" w:lineRule="auto"/>
      <w:ind w:firstLine="200"/>
      <w:jc w:val="both"/>
    </w:pPr>
    <w:rPr>
      <w:rFonts w:ascii="仿宋_GB2312" w:hAnsi="仿宋_GB2312" w:eastAsia="仿宋_GB2312" w:cs="黑体"/>
      <w:color w:val="000000"/>
      <w:kern w:val="1"/>
      <w:sz w:val="30"/>
      <w:szCs w:val="28"/>
      <w:lang w:val="en-US" w:eastAsia="zh-CN" w:bidi="ar-SA"/>
    </w:rPr>
  </w:style>
  <w:style w:type="table" w:customStyle="1" w:styleId="80">
    <w:name w:val="网格型1"/>
    <w:basedOn w:val="32"/>
    <w:qFormat/>
    <w:uiPriority w:val="0"/>
    <w:rPr>
      <w:rFonts w:asciiTheme="minorHAnsi" w:hAnsiTheme="minorHAnsi" w:eastAsiaTheme="minorEastAsia" w:cstheme="minorBidi"/>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1">
    <w:name w:val="文档结构图 Char"/>
    <w:basedOn w:val="34"/>
    <w:link w:val="12"/>
    <w:semiHidden/>
    <w:qFormat/>
    <w:uiPriority w:val="99"/>
    <w:rPr>
      <w:rFonts w:ascii="宋体"/>
      <w:kern w:val="2"/>
      <w:sz w:val="18"/>
      <w:szCs w:val="18"/>
    </w:rPr>
  </w:style>
  <w:style w:type="paragraph" w:customStyle="1" w:styleId="82">
    <w:name w:val="我的正文"/>
    <w:qFormat/>
    <w:uiPriority w:val="0"/>
    <w:pPr>
      <w:widowControl w:val="0"/>
      <w:spacing w:line="600" w:lineRule="exact"/>
      <w:ind w:firstLine="200" w:firstLineChars="200"/>
      <w:jc w:val="both"/>
    </w:pPr>
    <w:rPr>
      <w:rFonts w:ascii="宋体" w:hAnsi="Times New Roman" w:eastAsia="宋体" w:cs="Times New Roman"/>
      <w:sz w:val="28"/>
      <w:lang w:val="en-US" w:eastAsia="zh-CN" w:bidi="ar-SA"/>
    </w:rPr>
  </w:style>
  <w:style w:type="character" w:customStyle="1" w:styleId="83">
    <w:name w:val="正文文本缩进 Char"/>
    <w:basedOn w:val="34"/>
    <w:link w:val="3"/>
    <w:qFormat/>
    <w:uiPriority w:val="0"/>
    <w:rPr>
      <w:kern w:val="2"/>
      <w:sz w:val="28"/>
      <w:szCs w:val="28"/>
    </w:rPr>
  </w:style>
  <w:style w:type="paragraph" w:customStyle="1" w:styleId="84">
    <w:name w:val="表格标题"/>
    <w:basedOn w:val="1"/>
    <w:link w:val="98"/>
    <w:qFormat/>
    <w:uiPriority w:val="0"/>
    <w:pPr>
      <w:adjustRightInd/>
      <w:snapToGrid/>
      <w:spacing w:line="480" w:lineRule="exact"/>
      <w:jc w:val="center"/>
    </w:pPr>
    <w:rPr>
      <w:rFonts w:ascii="Calibri" w:hAnsi="宋体" w:eastAsia="黑体"/>
      <w:b/>
      <w:spacing w:val="-8"/>
      <w:sz w:val="28"/>
    </w:rPr>
  </w:style>
  <w:style w:type="character" w:customStyle="1" w:styleId="85">
    <w:name w:val="正文 + 采用 Char Char1"/>
    <w:link w:val="79"/>
    <w:qFormat/>
    <w:uiPriority w:val="0"/>
    <w:rPr>
      <w:rFonts w:ascii="仿宋_GB2312" w:hAnsi="仿宋_GB2312" w:eastAsia="仿宋_GB2312" w:cs="黑体"/>
      <w:color w:val="000000"/>
      <w:kern w:val="1"/>
      <w:sz w:val="30"/>
      <w:szCs w:val="28"/>
    </w:rPr>
  </w:style>
  <w:style w:type="character" w:customStyle="1" w:styleId="86">
    <w:name w:val="正文缩进 Char"/>
    <w:link w:val="10"/>
    <w:qFormat/>
    <w:uiPriority w:val="0"/>
    <w:rPr>
      <w:kern w:val="2"/>
      <w:sz w:val="21"/>
    </w:rPr>
  </w:style>
  <w:style w:type="paragraph" w:customStyle="1" w:styleId="87">
    <w:name w:val="00正文缩进"/>
    <w:basedOn w:val="1"/>
    <w:link w:val="88"/>
    <w:qFormat/>
    <w:uiPriority w:val="0"/>
    <w:pPr>
      <w:adjustRightInd/>
      <w:snapToGrid/>
      <w:spacing w:line="500" w:lineRule="exact"/>
      <w:ind w:firstLine="548"/>
    </w:pPr>
    <w:rPr>
      <w:rFonts w:eastAsia="宋体"/>
      <w:spacing w:val="-3"/>
      <w:sz w:val="28"/>
      <w:szCs w:val="20"/>
    </w:rPr>
  </w:style>
  <w:style w:type="character" w:customStyle="1" w:styleId="88">
    <w:name w:val="00正文缩进 Char"/>
    <w:link w:val="87"/>
    <w:qFormat/>
    <w:uiPriority w:val="0"/>
    <w:rPr>
      <w:spacing w:val="-3"/>
      <w:kern w:val="2"/>
      <w:sz w:val="28"/>
    </w:rPr>
  </w:style>
  <w:style w:type="character" w:customStyle="1" w:styleId="89">
    <w:name w:val="正文样式1 Char1"/>
    <w:link w:val="90"/>
    <w:qFormat/>
    <w:uiPriority w:val="0"/>
    <w:rPr>
      <w:rFonts w:ascii="Calibri" w:hAnsi="Calibri"/>
      <w:kern w:val="2"/>
      <w:sz w:val="28"/>
      <w:szCs w:val="28"/>
    </w:rPr>
  </w:style>
  <w:style w:type="paragraph" w:customStyle="1" w:styleId="90">
    <w:name w:val="正文样式1"/>
    <w:basedOn w:val="1"/>
    <w:link w:val="89"/>
    <w:qFormat/>
    <w:uiPriority w:val="0"/>
    <w:pPr>
      <w:adjustRightInd/>
      <w:snapToGrid/>
      <w:spacing w:line="500" w:lineRule="exact"/>
    </w:pPr>
    <w:rPr>
      <w:rFonts w:ascii="Calibri" w:hAnsi="Calibri" w:eastAsia="宋体"/>
      <w:sz w:val="28"/>
      <w:szCs w:val="28"/>
    </w:rPr>
  </w:style>
  <w:style w:type="paragraph" w:customStyle="1" w:styleId="91">
    <w:name w:val="样式 四号 黑色 行距: 固定值 25 磅"/>
    <w:basedOn w:val="1"/>
    <w:qFormat/>
    <w:uiPriority w:val="0"/>
    <w:pPr>
      <w:adjustRightInd/>
      <w:snapToGrid/>
      <w:spacing w:line="440" w:lineRule="exact"/>
      <w:ind w:firstLine="480"/>
    </w:pPr>
    <w:rPr>
      <w:rFonts w:ascii="宋体" w:hAnsi="宋体" w:eastAsia="宋体"/>
      <w:color w:val="000000"/>
      <w:sz w:val="24"/>
    </w:rPr>
  </w:style>
  <w:style w:type="character" w:customStyle="1" w:styleId="92">
    <w:name w:val="font121"/>
    <w:basedOn w:val="34"/>
    <w:qFormat/>
    <w:uiPriority w:val="0"/>
    <w:rPr>
      <w:rFonts w:hint="eastAsia" w:ascii="宋体" w:hAnsi="宋体" w:eastAsia="宋体" w:cs="宋体"/>
      <w:color w:val="000000"/>
      <w:sz w:val="20"/>
      <w:szCs w:val="20"/>
      <w:u w:val="none"/>
      <w:vertAlign w:val="superscript"/>
    </w:rPr>
  </w:style>
  <w:style w:type="paragraph" w:customStyle="1" w:styleId="93">
    <w:name w:val="正文４号"/>
    <w:basedOn w:val="1"/>
    <w:qFormat/>
    <w:uiPriority w:val="0"/>
    <w:pPr>
      <w:widowControl/>
      <w:adjustRightInd/>
      <w:snapToGrid/>
      <w:spacing w:line="360" w:lineRule="auto"/>
      <w:ind w:firstLine="560"/>
    </w:pPr>
    <w:rPr>
      <w:rFonts w:ascii="宋体" w:eastAsia="宋体"/>
      <w:sz w:val="28"/>
      <w:szCs w:val="28"/>
    </w:rPr>
  </w:style>
  <w:style w:type="character" w:customStyle="1" w:styleId="94">
    <w:name w:val="正文首行缩进 Char"/>
    <w:basedOn w:val="73"/>
    <w:link w:val="31"/>
    <w:qFormat/>
    <w:uiPriority w:val="99"/>
    <w:rPr>
      <w:rFonts w:asciiTheme="minorHAnsi" w:hAnsiTheme="minorHAnsi" w:eastAsiaTheme="minorEastAsia" w:cstheme="minorBidi"/>
      <w:kern w:val="2"/>
      <w:sz w:val="21"/>
      <w:szCs w:val="24"/>
    </w:rPr>
  </w:style>
  <w:style w:type="paragraph" w:customStyle="1" w:styleId="95">
    <w:name w:val="Body Text First Indent1"/>
    <w:basedOn w:val="14"/>
    <w:qFormat/>
    <w:uiPriority w:val="0"/>
    <w:pPr>
      <w:autoSpaceDE/>
      <w:autoSpaceDN/>
      <w:spacing w:after="120"/>
      <w:ind w:firstLine="420"/>
      <w:jc w:val="both"/>
    </w:pPr>
    <w:rPr>
      <w:rFonts w:ascii="Times New Roman" w:hAnsi="Times New Roman" w:cs="Times New Roman"/>
      <w:kern w:val="2"/>
      <w:sz w:val="21"/>
    </w:rPr>
  </w:style>
  <w:style w:type="character" w:customStyle="1" w:styleId="96">
    <w:name w:val="批注文字 Char"/>
    <w:basedOn w:val="34"/>
    <w:link w:val="13"/>
    <w:semiHidden/>
    <w:qFormat/>
    <w:uiPriority w:val="99"/>
    <w:rPr>
      <w:rFonts w:eastAsia="仿宋"/>
      <w:kern w:val="2"/>
      <w:sz w:val="32"/>
      <w:szCs w:val="24"/>
    </w:rPr>
  </w:style>
  <w:style w:type="character" w:customStyle="1" w:styleId="97">
    <w:name w:val="批注主题 Char"/>
    <w:basedOn w:val="96"/>
    <w:link w:val="30"/>
    <w:semiHidden/>
    <w:qFormat/>
    <w:uiPriority w:val="99"/>
    <w:rPr>
      <w:rFonts w:eastAsia="仿宋"/>
      <w:b/>
      <w:bCs/>
      <w:kern w:val="2"/>
      <w:sz w:val="32"/>
      <w:szCs w:val="24"/>
    </w:rPr>
  </w:style>
  <w:style w:type="character" w:customStyle="1" w:styleId="98">
    <w:name w:val="表格标题 Char Char"/>
    <w:basedOn w:val="34"/>
    <w:link w:val="84"/>
    <w:qFormat/>
    <w:uiPriority w:val="0"/>
    <w:rPr>
      <w:rFonts w:ascii="Calibri" w:hAnsi="宋体" w:eastAsia="黑体"/>
      <w:b/>
      <w:spacing w:val="-8"/>
      <w:kern w:val="2"/>
      <w:sz w:val="28"/>
      <w:szCs w:val="24"/>
    </w:rPr>
  </w:style>
  <w:style w:type="character" w:customStyle="1" w:styleId="99">
    <w:name w:val="正文文本缩进 2 Char"/>
    <w:basedOn w:val="34"/>
    <w:link w:val="19"/>
    <w:semiHidden/>
    <w:qFormat/>
    <w:uiPriority w:val="0"/>
    <w:rPr>
      <w:kern w:val="2"/>
      <w:sz w:val="21"/>
      <w:szCs w:val="24"/>
    </w:rPr>
  </w:style>
  <w:style w:type="paragraph" w:customStyle="1" w:styleId="100">
    <w:name w:val="Char"/>
    <w:basedOn w:val="1"/>
    <w:semiHidden/>
    <w:qFormat/>
    <w:uiPriority w:val="0"/>
    <w:pPr>
      <w:snapToGrid/>
      <w:spacing w:line="360" w:lineRule="atLeast"/>
      <w:ind w:firstLine="0" w:firstLineChars="0"/>
      <w:textAlignment w:val="baseline"/>
    </w:pPr>
    <w:rPr>
      <w:rFonts w:eastAsia="宋体"/>
      <w:sz w:val="21"/>
      <w:szCs w:val="28"/>
    </w:rPr>
  </w:style>
  <w:style w:type="paragraph" w:customStyle="1" w:styleId="101">
    <w:name w:val="Char1"/>
    <w:basedOn w:val="1"/>
    <w:semiHidden/>
    <w:qFormat/>
    <w:uiPriority w:val="0"/>
    <w:pPr>
      <w:snapToGrid/>
      <w:spacing w:line="360" w:lineRule="atLeast"/>
      <w:ind w:firstLine="0" w:firstLineChars="0"/>
      <w:textAlignment w:val="baseline"/>
    </w:pPr>
    <w:rPr>
      <w:rFonts w:eastAsia="宋体"/>
      <w:sz w:val="21"/>
      <w:szCs w:val="28"/>
    </w:rPr>
  </w:style>
  <w:style w:type="paragraph" w:customStyle="1" w:styleId="102">
    <w:name w:val="正文小四"/>
    <w:basedOn w:val="1"/>
    <w:qFormat/>
    <w:uiPriority w:val="0"/>
    <w:pPr>
      <w:adjustRightInd/>
      <w:snapToGrid/>
      <w:spacing w:line="360" w:lineRule="auto"/>
    </w:pPr>
    <w:rPr>
      <w:rFonts w:eastAsia="仿宋_GB2312"/>
      <w:sz w:val="24"/>
    </w:rPr>
  </w:style>
  <w:style w:type="paragraph" w:customStyle="1" w:styleId="103">
    <w:name w:val="文"/>
    <w:basedOn w:val="1"/>
    <w:link w:val="104"/>
    <w:qFormat/>
    <w:uiPriority w:val="0"/>
    <w:pPr>
      <w:adjustRightInd/>
      <w:snapToGrid/>
      <w:spacing w:line="360" w:lineRule="auto"/>
      <w:ind w:firstLine="560"/>
    </w:pPr>
    <w:rPr>
      <w:rFonts w:eastAsia="华文仿宋"/>
      <w:sz w:val="28"/>
      <w:szCs w:val="28"/>
    </w:rPr>
  </w:style>
  <w:style w:type="character" w:customStyle="1" w:styleId="104">
    <w:name w:val="文 Char"/>
    <w:basedOn w:val="34"/>
    <w:link w:val="103"/>
    <w:qFormat/>
    <w:uiPriority w:val="0"/>
    <w:rPr>
      <w:rFonts w:eastAsia="华文仿宋"/>
      <w:kern w:val="2"/>
      <w:sz w:val="28"/>
      <w:szCs w:val="28"/>
    </w:rPr>
  </w:style>
  <w:style w:type="paragraph" w:customStyle="1" w:styleId="105">
    <w:name w:val="一一"/>
    <w:basedOn w:val="1"/>
    <w:qFormat/>
    <w:uiPriority w:val="0"/>
    <w:pPr>
      <w:tabs>
        <w:tab w:val="left" w:pos="3621"/>
      </w:tabs>
      <w:adjustRightInd/>
      <w:snapToGrid/>
      <w:spacing w:line="360" w:lineRule="auto"/>
      <w:ind w:firstLine="480"/>
    </w:pPr>
    <w:rPr>
      <w:rFonts w:ascii="宋体" w:hAnsi="宋体" w:eastAsia="宋体" w:cs="宋体"/>
      <w:color w:val="000000"/>
      <w:kern w:val="0"/>
      <w:sz w:val="24"/>
    </w:rPr>
  </w:style>
  <w:style w:type="paragraph" w:customStyle="1" w:styleId="106">
    <w:name w:val="1.1.1"/>
    <w:basedOn w:val="6"/>
    <w:qFormat/>
    <w:uiPriority w:val="0"/>
    <w:pPr>
      <w:spacing w:line="360" w:lineRule="auto"/>
      <w:ind w:right="-136" w:firstLine="0" w:firstLineChars="0"/>
    </w:pPr>
    <w:rPr>
      <w:rFonts w:ascii="宋体" w:hAnsi="宋体" w:eastAsia="宋体"/>
      <w:kern w:val="0"/>
      <w:sz w:val="28"/>
      <w:szCs w:val="28"/>
    </w:rPr>
  </w:style>
  <w:style w:type="paragraph" w:customStyle="1" w:styleId="107">
    <w:name w:val="1.1.1.1"/>
    <w:basedOn w:val="1"/>
    <w:qFormat/>
    <w:uiPriority w:val="0"/>
    <w:pPr>
      <w:snapToGrid/>
      <w:spacing w:beforeLines="50" w:line="360" w:lineRule="auto"/>
      <w:ind w:firstLine="480" w:firstLineChars="0"/>
      <w:textAlignment w:val="baseline"/>
    </w:pPr>
    <w:rPr>
      <w:rFonts w:ascii="宋体" w:eastAsia="宋体"/>
      <w:b/>
      <w:bCs/>
      <w:sz w:val="24"/>
    </w:rPr>
  </w:style>
  <w:style w:type="paragraph" w:customStyle="1" w:styleId="108">
    <w:name w:val="1."/>
    <w:basedOn w:val="1"/>
    <w:qFormat/>
    <w:uiPriority w:val="0"/>
    <w:pPr>
      <w:adjustRightInd/>
      <w:snapToGrid/>
      <w:spacing w:line="360" w:lineRule="auto"/>
      <w:ind w:firstLine="600" w:firstLineChars="0"/>
    </w:pPr>
    <w:rPr>
      <w:rFonts w:ascii="宋体" w:hAnsi="宋体" w:eastAsia="宋体"/>
      <w:b/>
      <w:sz w:val="28"/>
    </w:rPr>
  </w:style>
  <w:style w:type="paragraph" w:customStyle="1" w:styleId="109">
    <w:name w:val="xl22"/>
    <w:basedOn w:val="1"/>
    <w:semiHidden/>
    <w:qFormat/>
    <w:uiPriority w:val="0"/>
    <w:pPr>
      <w:widowControl/>
      <w:adjustRightInd/>
      <w:snapToGrid/>
      <w:spacing w:before="100" w:beforeAutospacing="1" w:after="100" w:afterAutospacing="1" w:line="240" w:lineRule="auto"/>
      <w:ind w:firstLine="0" w:firstLineChars="0"/>
      <w:jc w:val="center"/>
    </w:pPr>
    <w:rPr>
      <w:rFonts w:ascii="宋体" w:hAnsi="宋体" w:eastAsia="宋体"/>
      <w:kern w:val="0"/>
      <w:sz w:val="20"/>
      <w:szCs w:val="20"/>
    </w:rPr>
  </w:style>
  <w:style w:type="paragraph" w:customStyle="1" w:styleId="110">
    <w:name w:val="Tab"/>
    <w:basedOn w:val="1"/>
    <w:qFormat/>
    <w:uiPriority w:val="0"/>
    <w:pPr>
      <w:spacing w:line="360" w:lineRule="auto"/>
      <w:ind w:firstLine="0" w:firstLineChars="0"/>
      <w:jc w:val="center"/>
    </w:pPr>
    <w:rPr>
      <w:rFonts w:ascii="黑体" w:hAnsi="宋体" w:eastAsia="黑体"/>
      <w:sz w:val="24"/>
    </w:rPr>
  </w:style>
  <w:style w:type="paragraph" w:customStyle="1" w:styleId="111">
    <w:name w:val="Table"/>
    <w:basedOn w:val="1"/>
    <w:qFormat/>
    <w:uiPriority w:val="0"/>
    <w:pPr>
      <w:spacing w:line="240" w:lineRule="auto"/>
      <w:ind w:firstLine="0" w:firstLineChars="0"/>
      <w:jc w:val="center"/>
    </w:pPr>
    <w:rPr>
      <w:rFonts w:ascii="宋体" w:hAnsi="宋体" w:eastAsia="宋体"/>
      <w:kern w:val="0"/>
      <w:sz w:val="21"/>
      <w:szCs w:val="21"/>
    </w:rPr>
  </w:style>
  <w:style w:type="paragraph" w:customStyle="1" w:styleId="112">
    <w:name w:val="Text"/>
    <w:basedOn w:val="1"/>
    <w:link w:val="113"/>
    <w:qFormat/>
    <w:uiPriority w:val="0"/>
    <w:pPr>
      <w:spacing w:beforeLines="50" w:afterLines="50" w:line="240" w:lineRule="auto"/>
      <w:ind w:firstLine="0" w:firstLineChars="0"/>
    </w:pPr>
    <w:rPr>
      <w:rFonts w:ascii="华文中宋" w:hAnsi="华文中宋" w:eastAsia="华文中宋"/>
      <w:kern w:val="0"/>
      <w:sz w:val="36"/>
      <w:szCs w:val="36"/>
    </w:rPr>
  </w:style>
  <w:style w:type="character" w:customStyle="1" w:styleId="113">
    <w:name w:val="Text Char1"/>
    <w:basedOn w:val="34"/>
    <w:link w:val="112"/>
    <w:qFormat/>
    <w:uiPriority w:val="0"/>
    <w:rPr>
      <w:rFonts w:ascii="华文中宋" w:hAnsi="华文中宋" w:eastAsia="华文中宋"/>
      <w:sz w:val="36"/>
      <w:szCs w:val="36"/>
    </w:rPr>
  </w:style>
  <w:style w:type="character" w:customStyle="1" w:styleId="114">
    <w:name w:val="表格编号 Char"/>
    <w:basedOn w:val="34"/>
    <w:link w:val="115"/>
    <w:qFormat/>
    <w:uiPriority w:val="0"/>
    <w:rPr>
      <w:bCs/>
      <w:szCs w:val="21"/>
    </w:rPr>
  </w:style>
  <w:style w:type="paragraph" w:customStyle="1" w:styleId="115">
    <w:name w:val="表格编号"/>
    <w:basedOn w:val="84"/>
    <w:link w:val="114"/>
    <w:qFormat/>
    <w:uiPriority w:val="0"/>
    <w:pPr>
      <w:spacing w:line="240" w:lineRule="exact"/>
      <w:ind w:firstLine="0" w:firstLineChars="0"/>
      <w:jc w:val="both"/>
    </w:pPr>
    <w:rPr>
      <w:rFonts w:ascii="Times New Roman" w:hAnsi="Times New Roman" w:eastAsia="宋体"/>
      <w:b w:val="0"/>
      <w:bCs/>
      <w:spacing w:val="0"/>
      <w:kern w:val="0"/>
      <w:sz w:val="20"/>
      <w:szCs w:val="21"/>
    </w:rPr>
  </w:style>
  <w:style w:type="character" w:customStyle="1" w:styleId="116">
    <w:name w:val="Char Char"/>
    <w:basedOn w:val="34"/>
    <w:semiHidden/>
    <w:qFormat/>
    <w:uiPriority w:val="0"/>
    <w:rPr>
      <w:rFonts w:ascii="Arial" w:hAnsi="Arial" w:eastAsia="宋体"/>
      <w:b/>
      <w:color w:val="000000"/>
      <w:kern w:val="2"/>
      <w:sz w:val="24"/>
      <w:szCs w:val="32"/>
      <w:lang w:val="en-US" w:eastAsia="zh-CN" w:bidi="ar-SA"/>
    </w:rPr>
  </w:style>
  <w:style w:type="paragraph" w:customStyle="1" w:styleId="117">
    <w:name w:val="文本1"/>
    <w:basedOn w:val="22"/>
    <w:semiHidden/>
    <w:qFormat/>
    <w:uiPriority w:val="0"/>
    <w:pPr>
      <w:widowControl/>
      <w:pBdr>
        <w:bottom w:val="none" w:color="auto" w:sz="0" w:space="0"/>
      </w:pBdr>
      <w:tabs>
        <w:tab w:val="clear" w:pos="4153"/>
        <w:tab w:val="clear" w:pos="8306"/>
      </w:tabs>
      <w:adjustRightInd/>
      <w:spacing w:line="400" w:lineRule="exact"/>
      <w:ind w:firstLine="0" w:firstLineChars="0"/>
    </w:pPr>
    <w:rPr>
      <w:rFonts w:ascii="Times New Roman" w:hAnsi="Times New Roman" w:eastAsia="宋体"/>
      <w:kern w:val="2"/>
      <w:sz w:val="21"/>
      <w:szCs w:val="20"/>
    </w:rPr>
  </w:style>
  <w:style w:type="paragraph" w:customStyle="1" w:styleId="118">
    <w:name w:val="水库标题"/>
    <w:basedOn w:val="117"/>
    <w:semiHidden/>
    <w:qFormat/>
    <w:uiPriority w:val="0"/>
    <w:pPr>
      <w:spacing w:beforeLines="50" w:line="360" w:lineRule="auto"/>
      <w:ind w:firstLine="224" w:firstLineChars="70"/>
      <w:jc w:val="both"/>
    </w:pPr>
    <w:rPr>
      <w:rFonts w:ascii="宋体" w:hAnsi="宋体"/>
      <w:sz w:val="32"/>
      <w:szCs w:val="32"/>
    </w:rPr>
  </w:style>
  <w:style w:type="paragraph" w:customStyle="1" w:styleId="119">
    <w:name w:val="1.1"/>
    <w:basedOn w:val="5"/>
    <w:link w:val="120"/>
    <w:qFormat/>
    <w:uiPriority w:val="0"/>
    <w:pPr>
      <w:spacing w:line="360" w:lineRule="auto"/>
      <w:ind w:firstLine="0" w:firstLineChars="0"/>
    </w:pPr>
    <w:rPr>
      <w:rFonts w:ascii="宋体" w:hAnsi="宋体" w:eastAsiaTheme="majorEastAsia" w:cstheme="majorBidi"/>
      <w:sz w:val="30"/>
      <w:szCs w:val="30"/>
    </w:rPr>
  </w:style>
  <w:style w:type="character" w:customStyle="1" w:styleId="120">
    <w:name w:val="1.1 Char"/>
    <w:basedOn w:val="42"/>
    <w:link w:val="119"/>
    <w:qFormat/>
    <w:uiPriority w:val="0"/>
    <w:rPr>
      <w:rFonts w:ascii="宋体" w:hAnsi="宋体" w:eastAsiaTheme="majorEastAsia" w:cstheme="majorBidi"/>
      <w:kern w:val="2"/>
      <w:sz w:val="30"/>
      <w:szCs w:val="30"/>
    </w:rPr>
  </w:style>
  <w:style w:type="paragraph" w:customStyle="1" w:styleId="121">
    <w:name w:val="qy"/>
    <w:basedOn w:val="1"/>
    <w:qFormat/>
    <w:uiPriority w:val="0"/>
    <w:pPr>
      <w:keepNext/>
      <w:keepLines/>
      <w:spacing w:before="340" w:after="330" w:line="360" w:lineRule="auto"/>
      <w:ind w:firstLine="0" w:firstLineChars="0"/>
      <w:jc w:val="left"/>
      <w:outlineLvl w:val="0"/>
    </w:pPr>
    <w:rPr>
      <w:rFonts w:ascii="宋体" w:hAnsi="宋体" w:eastAsia="宋体"/>
      <w:b/>
      <w:kern w:val="44"/>
      <w:sz w:val="36"/>
      <w:szCs w:val="36"/>
    </w:rPr>
  </w:style>
  <w:style w:type="paragraph" w:customStyle="1" w:styleId="122">
    <w:name w:val="Tu"/>
    <w:basedOn w:val="112"/>
    <w:link w:val="123"/>
    <w:qFormat/>
    <w:uiPriority w:val="0"/>
    <w:rPr>
      <w:rFonts w:ascii="黑体" w:eastAsia="黑体"/>
      <w:sz w:val="24"/>
    </w:rPr>
  </w:style>
  <w:style w:type="character" w:customStyle="1" w:styleId="123">
    <w:name w:val="Tu Char1"/>
    <w:basedOn w:val="113"/>
    <w:link w:val="122"/>
    <w:qFormat/>
    <w:uiPriority w:val="0"/>
    <w:rPr>
      <w:rFonts w:ascii="黑体" w:hAnsi="华文中宋" w:eastAsia="黑体"/>
      <w:sz w:val="24"/>
      <w:szCs w:val="36"/>
    </w:rPr>
  </w:style>
  <w:style w:type="paragraph" w:customStyle="1" w:styleId="124">
    <w:name w:val="章"/>
    <w:basedOn w:val="4"/>
    <w:link w:val="125"/>
    <w:qFormat/>
    <w:uiPriority w:val="0"/>
    <w:pPr>
      <w:pageBreakBefore/>
      <w:adjustRightInd/>
      <w:snapToGrid/>
      <w:spacing w:line="240" w:lineRule="auto"/>
    </w:pPr>
    <w:rPr>
      <w:rFonts w:ascii="黑体"/>
      <w:szCs w:val="36"/>
    </w:rPr>
  </w:style>
  <w:style w:type="character" w:customStyle="1" w:styleId="125">
    <w:name w:val="章 Char1"/>
    <w:basedOn w:val="40"/>
    <w:link w:val="124"/>
    <w:qFormat/>
    <w:uiPriority w:val="0"/>
    <w:rPr>
      <w:rFonts w:ascii="黑体" w:eastAsia="黑体"/>
      <w:kern w:val="44"/>
      <w:sz w:val="36"/>
      <w:szCs w:val="36"/>
    </w:rPr>
  </w:style>
  <w:style w:type="paragraph" w:customStyle="1" w:styleId="126">
    <w:name w:val="节"/>
    <w:basedOn w:val="5"/>
    <w:link w:val="127"/>
    <w:qFormat/>
    <w:uiPriority w:val="0"/>
    <w:pPr>
      <w:keepNext w:val="0"/>
      <w:keepLines w:val="0"/>
      <w:adjustRightInd/>
      <w:snapToGrid/>
      <w:spacing w:line="240" w:lineRule="auto"/>
      <w:ind w:firstLine="0" w:firstLineChars="0"/>
      <w:jc w:val="center"/>
    </w:pPr>
    <w:rPr>
      <w:rFonts w:ascii="黑体" w:hAnsi="Arial" w:cstheme="majorBidi"/>
    </w:rPr>
  </w:style>
  <w:style w:type="character" w:customStyle="1" w:styleId="127">
    <w:name w:val="节 Char1"/>
    <w:basedOn w:val="42"/>
    <w:link w:val="126"/>
    <w:qFormat/>
    <w:uiPriority w:val="0"/>
    <w:rPr>
      <w:rFonts w:ascii="黑体" w:hAnsi="Arial" w:eastAsia="黑体" w:cstheme="majorBidi"/>
      <w:kern w:val="2"/>
      <w:sz w:val="32"/>
      <w:szCs w:val="32"/>
    </w:rPr>
  </w:style>
  <w:style w:type="character" w:customStyle="1" w:styleId="128">
    <w:name w:val="正文 + 采用 Char"/>
    <w:basedOn w:val="34"/>
    <w:qFormat/>
    <w:uiPriority w:val="0"/>
    <w:rPr>
      <w:rFonts w:ascii="Times New Roman" w:hAnsi="Times New Roman" w:eastAsia="宋体" w:cs="Times New Roman"/>
      <w:sz w:val="24"/>
      <w:szCs w:val="28"/>
    </w:rPr>
  </w:style>
  <w:style w:type="paragraph" w:customStyle="1" w:styleId="129">
    <w:name w:val="样式 一、 + 首行缩进:  2 字符"/>
    <w:basedOn w:val="1"/>
    <w:qFormat/>
    <w:uiPriority w:val="0"/>
    <w:pPr>
      <w:adjustRightInd/>
      <w:snapToGrid/>
      <w:spacing w:line="360" w:lineRule="auto"/>
      <w:ind w:firstLine="640"/>
    </w:pPr>
    <w:rPr>
      <w:rFonts w:eastAsia="宋体" w:cs="宋体"/>
      <w:kern w:val="0"/>
      <w:sz w:val="30"/>
      <w:szCs w:val="20"/>
    </w:rPr>
  </w:style>
  <w:style w:type="paragraph" w:customStyle="1" w:styleId="130">
    <w:name w:val="konghang"/>
    <w:basedOn w:val="103"/>
    <w:qFormat/>
    <w:uiPriority w:val="0"/>
    <w:pPr>
      <w:spacing w:line="240" w:lineRule="exact"/>
    </w:pPr>
  </w:style>
  <w:style w:type="paragraph" w:customStyle="1" w:styleId="131">
    <w:name w:val="zhu"/>
    <w:basedOn w:val="21"/>
    <w:qFormat/>
    <w:uiPriority w:val="0"/>
    <w:pPr>
      <w:adjustRightInd/>
      <w:spacing w:line="240" w:lineRule="auto"/>
      <w:ind w:firstLine="0" w:firstLineChars="0"/>
    </w:pPr>
    <w:rPr>
      <w:rFonts w:ascii="Times New Roman" w:hAnsi="Times New Roman" w:eastAsia="宋体"/>
      <w:kern w:val="2"/>
    </w:rPr>
  </w:style>
  <w:style w:type="character" w:customStyle="1" w:styleId="132">
    <w:name w:val="yqlink"/>
    <w:basedOn w:val="34"/>
    <w:qFormat/>
    <w:uiPriority w:val="0"/>
  </w:style>
  <w:style w:type="paragraph" w:customStyle="1" w:styleId="133">
    <w:name w:val="z-窗体顶端1"/>
    <w:basedOn w:val="1"/>
    <w:next w:val="1"/>
    <w:link w:val="134"/>
    <w:qFormat/>
    <w:uiPriority w:val="0"/>
    <w:pPr>
      <w:widowControl/>
      <w:pBdr>
        <w:bottom w:val="single" w:color="auto" w:sz="6" w:space="1"/>
      </w:pBdr>
      <w:adjustRightInd/>
      <w:snapToGrid/>
      <w:spacing w:line="240" w:lineRule="auto"/>
      <w:ind w:firstLine="0" w:firstLineChars="0"/>
      <w:jc w:val="center"/>
    </w:pPr>
    <w:rPr>
      <w:rFonts w:ascii="Arial" w:hAnsi="Arial" w:eastAsia="宋体" w:cs="Arial"/>
      <w:vanish/>
      <w:kern w:val="0"/>
      <w:sz w:val="16"/>
      <w:szCs w:val="16"/>
    </w:rPr>
  </w:style>
  <w:style w:type="character" w:customStyle="1" w:styleId="134">
    <w:name w:val="z-窗体顶端 Char"/>
    <w:basedOn w:val="34"/>
    <w:link w:val="133"/>
    <w:qFormat/>
    <w:uiPriority w:val="0"/>
    <w:rPr>
      <w:rFonts w:ascii="Arial" w:hAnsi="Arial" w:cs="Arial"/>
      <w:vanish/>
      <w:sz w:val="16"/>
      <w:szCs w:val="16"/>
    </w:rPr>
  </w:style>
  <w:style w:type="paragraph" w:customStyle="1" w:styleId="135">
    <w:name w:val="z-窗体底端1"/>
    <w:basedOn w:val="1"/>
    <w:next w:val="1"/>
    <w:link w:val="136"/>
    <w:qFormat/>
    <w:uiPriority w:val="0"/>
    <w:pPr>
      <w:widowControl/>
      <w:pBdr>
        <w:top w:val="single" w:color="auto" w:sz="6" w:space="1"/>
      </w:pBdr>
      <w:adjustRightInd/>
      <w:snapToGrid/>
      <w:spacing w:line="240" w:lineRule="auto"/>
      <w:ind w:firstLine="0" w:firstLineChars="0"/>
      <w:jc w:val="center"/>
    </w:pPr>
    <w:rPr>
      <w:rFonts w:ascii="Arial" w:hAnsi="Arial" w:eastAsia="宋体" w:cs="Arial"/>
      <w:vanish/>
      <w:kern w:val="0"/>
      <w:sz w:val="16"/>
      <w:szCs w:val="16"/>
    </w:rPr>
  </w:style>
  <w:style w:type="character" w:customStyle="1" w:styleId="136">
    <w:name w:val="z-窗体底端 Char"/>
    <w:basedOn w:val="34"/>
    <w:link w:val="135"/>
    <w:qFormat/>
    <w:uiPriority w:val="0"/>
    <w:rPr>
      <w:rFonts w:ascii="Arial" w:hAnsi="Arial" w:cs="Arial"/>
      <w:vanish/>
      <w:sz w:val="16"/>
      <w:szCs w:val="16"/>
    </w:rPr>
  </w:style>
  <w:style w:type="character" w:customStyle="1" w:styleId="137">
    <w:name w:val="t31"/>
    <w:basedOn w:val="34"/>
    <w:qFormat/>
    <w:uiPriority w:val="0"/>
    <w:rPr>
      <w:color w:val="000000"/>
      <w:sz w:val="17"/>
      <w:szCs w:val="17"/>
    </w:rPr>
  </w:style>
  <w:style w:type="character" w:customStyle="1" w:styleId="138">
    <w:name w:val="style11"/>
    <w:basedOn w:val="34"/>
    <w:qFormat/>
    <w:uiPriority w:val="0"/>
    <w:rPr>
      <w:color w:val="FF0000"/>
    </w:rPr>
  </w:style>
  <w:style w:type="paragraph" w:customStyle="1" w:styleId="139">
    <w:name w:val="表号"/>
    <w:basedOn w:val="3"/>
    <w:qFormat/>
    <w:uiPriority w:val="0"/>
    <w:pPr>
      <w:spacing w:before="50" w:after="50" w:line="240" w:lineRule="auto"/>
      <w:ind w:right="210" w:rightChars="100" w:firstLine="210" w:firstLineChars="100"/>
      <w:jc w:val="left"/>
    </w:pPr>
    <w:rPr>
      <w:rFonts w:ascii="宋体" w:hAnsi="宋体" w:eastAsia="仿宋_GB2312"/>
      <w:kern w:val="0"/>
      <w:sz w:val="24"/>
      <w:szCs w:val="23"/>
    </w:rPr>
  </w:style>
  <w:style w:type="paragraph" w:customStyle="1" w:styleId="140">
    <w:name w:val="table"/>
    <w:basedOn w:val="1"/>
    <w:qFormat/>
    <w:uiPriority w:val="0"/>
    <w:pPr>
      <w:adjustRightInd/>
      <w:snapToGrid/>
      <w:spacing w:line="240" w:lineRule="auto"/>
      <w:ind w:firstLine="0" w:firstLineChars="0"/>
      <w:jc w:val="center"/>
    </w:pPr>
    <w:rPr>
      <w:rFonts w:eastAsia="宋体"/>
      <w:sz w:val="21"/>
    </w:rPr>
  </w:style>
  <w:style w:type="paragraph" w:customStyle="1" w:styleId="141">
    <w:name w:val="wenzhu"/>
    <w:basedOn w:val="1"/>
    <w:qFormat/>
    <w:uiPriority w:val="0"/>
    <w:pPr>
      <w:widowControl/>
      <w:adjustRightInd/>
      <w:snapToGrid/>
      <w:spacing w:line="240" w:lineRule="auto"/>
      <w:ind w:left="-42" w:leftChars="-20" w:right="-42" w:rightChars="-20" w:firstLine="0" w:firstLineChars="0"/>
      <w:jc w:val="left"/>
    </w:pPr>
    <w:rPr>
      <w:rFonts w:ascii="宋体" w:hAnsi="宋体" w:eastAsia="宋体" w:cs="宋体"/>
      <w:kern w:val="0"/>
      <w:sz w:val="18"/>
      <w:szCs w:val="18"/>
    </w:rPr>
  </w:style>
  <w:style w:type="paragraph" w:customStyle="1" w:styleId="142">
    <w:name w:val="1。"/>
    <w:basedOn w:val="103"/>
    <w:link w:val="143"/>
    <w:qFormat/>
    <w:uiPriority w:val="0"/>
    <w:pPr>
      <w:ind w:firstLine="561"/>
    </w:pPr>
    <w:rPr>
      <w:b/>
    </w:rPr>
  </w:style>
  <w:style w:type="character" w:customStyle="1" w:styleId="143">
    <w:name w:val="1。 Char"/>
    <w:basedOn w:val="104"/>
    <w:link w:val="142"/>
    <w:qFormat/>
    <w:uiPriority w:val="0"/>
    <w:rPr>
      <w:rFonts w:eastAsia="华文仿宋"/>
      <w:b/>
      <w:kern w:val="2"/>
      <w:sz w:val="28"/>
      <w:szCs w:val="28"/>
    </w:rPr>
  </w:style>
  <w:style w:type="paragraph" w:customStyle="1" w:styleId="144">
    <w:name w:val="zym"/>
    <w:basedOn w:val="1"/>
    <w:qFormat/>
    <w:uiPriority w:val="0"/>
    <w:pPr>
      <w:pBdr>
        <w:bottom w:val="single" w:color="auto" w:sz="4" w:space="1"/>
      </w:pBdr>
      <w:adjustRightInd/>
      <w:snapToGrid/>
      <w:spacing w:line="240" w:lineRule="atLeast"/>
      <w:ind w:firstLine="0" w:firstLineChars="0"/>
      <w:jc w:val="center"/>
    </w:pPr>
    <w:rPr>
      <w:rFonts w:eastAsia="宋体"/>
      <w:sz w:val="21"/>
      <w:szCs w:val="21"/>
    </w:rPr>
  </w:style>
  <w:style w:type="paragraph" w:customStyle="1" w:styleId="145">
    <w:name w:val="表格 + 五号"/>
    <w:basedOn w:val="1"/>
    <w:next w:val="1"/>
    <w:qFormat/>
    <w:uiPriority w:val="0"/>
    <w:pPr>
      <w:spacing w:line="360" w:lineRule="exact"/>
      <w:ind w:firstLine="0" w:firstLineChars="0"/>
      <w:jc w:val="center"/>
    </w:pPr>
    <w:rPr>
      <w:rFonts w:ascii="仿宋_GB2312" w:eastAsia="仿宋_GB2312"/>
      <w:color w:val="000000"/>
      <w:sz w:val="21"/>
    </w:rPr>
  </w:style>
  <w:style w:type="character" w:customStyle="1" w:styleId="146">
    <w:name w:val="表格标题 Char"/>
    <w:basedOn w:val="34"/>
    <w:qFormat/>
    <w:uiPriority w:val="0"/>
    <w:rPr>
      <w:rFonts w:eastAsia="黑体"/>
      <w:bCs/>
      <w:sz w:val="24"/>
      <w:szCs w:val="28"/>
      <w:lang w:val="en-US" w:eastAsia="zh-CN" w:bidi="ar-SA"/>
    </w:rPr>
  </w:style>
  <w:style w:type="paragraph" w:customStyle="1" w:styleId="147">
    <w:name w:val="标题 3 + 采用"/>
    <w:basedOn w:val="6"/>
    <w:next w:val="79"/>
    <w:link w:val="148"/>
    <w:qFormat/>
    <w:uiPriority w:val="0"/>
    <w:pPr>
      <w:adjustRightInd/>
      <w:snapToGrid/>
      <w:spacing w:beforeLines="100" w:afterLines="50" w:line="240" w:lineRule="auto"/>
      <w:ind w:firstLine="0" w:firstLineChars="0"/>
    </w:pPr>
    <w:rPr>
      <w:rFonts w:ascii="Arial" w:hAnsi="Arial" w:eastAsia="黑体" w:cs="宋体"/>
      <w:b w:val="0"/>
      <w:color w:val="000000"/>
      <w:sz w:val="28"/>
      <w:szCs w:val="28"/>
    </w:rPr>
  </w:style>
  <w:style w:type="character" w:customStyle="1" w:styleId="148">
    <w:name w:val="标题 3 + 采用 Char"/>
    <w:basedOn w:val="116"/>
    <w:link w:val="147"/>
    <w:qFormat/>
    <w:uiPriority w:val="0"/>
    <w:rPr>
      <w:rFonts w:ascii="Arial" w:hAnsi="Arial" w:eastAsia="黑体" w:cs="宋体"/>
      <w:b w:val="0"/>
      <w:bCs/>
      <w:color w:val="000000"/>
      <w:kern w:val="2"/>
      <w:sz w:val="28"/>
      <w:szCs w:val="28"/>
      <w:lang w:val="en-US" w:eastAsia="zh-CN" w:bidi="ar-SA"/>
    </w:rPr>
  </w:style>
  <w:style w:type="paragraph" w:customStyle="1" w:styleId="149">
    <w:name w:val="标题4 + 采用"/>
    <w:basedOn w:val="1"/>
    <w:qFormat/>
    <w:uiPriority w:val="0"/>
    <w:pPr>
      <w:adjustRightInd/>
      <w:snapToGrid/>
      <w:spacing w:line="500" w:lineRule="exact"/>
      <w:ind w:firstLine="561"/>
    </w:pPr>
    <w:rPr>
      <w:rFonts w:eastAsia="宋体" w:cs="宋体"/>
      <w:b/>
      <w:bCs/>
      <w:sz w:val="28"/>
      <w:szCs w:val="20"/>
    </w:rPr>
  </w:style>
  <w:style w:type="paragraph" w:customStyle="1" w:styleId="150">
    <w:name w:val="表格单位"/>
    <w:basedOn w:val="84"/>
    <w:qFormat/>
    <w:uiPriority w:val="0"/>
    <w:pPr>
      <w:adjustRightInd w:val="0"/>
      <w:spacing w:line="360" w:lineRule="exact"/>
      <w:ind w:right="210" w:firstLine="600" w:firstLineChars="250"/>
      <w:jc w:val="both"/>
    </w:pPr>
    <w:rPr>
      <w:rFonts w:ascii="仿宋_GB2312" w:eastAsia="仿宋_GB2312"/>
      <w:b w:val="0"/>
      <w:spacing w:val="0"/>
      <w:sz w:val="24"/>
      <w:szCs w:val="20"/>
    </w:rPr>
  </w:style>
  <w:style w:type="paragraph" w:customStyle="1" w:styleId="151">
    <w:name w:val="表格文字"/>
    <w:basedOn w:val="1"/>
    <w:qFormat/>
    <w:uiPriority w:val="0"/>
    <w:pPr>
      <w:adjustRightInd/>
      <w:spacing w:line="260" w:lineRule="exact"/>
      <w:ind w:right="-20" w:firstLine="560"/>
      <w:jc w:val="center"/>
    </w:pPr>
    <w:rPr>
      <w:rFonts w:ascii="仿宋_GB2312" w:hAnsi="宋体" w:eastAsia="宋体"/>
      <w:sz w:val="24"/>
      <w:szCs w:val="20"/>
    </w:rPr>
  </w:style>
  <w:style w:type="paragraph" w:customStyle="1" w:styleId="152">
    <w:name w:val="正文B"/>
    <w:basedOn w:val="1"/>
    <w:qFormat/>
    <w:uiPriority w:val="0"/>
    <w:pPr>
      <w:spacing w:line="0" w:lineRule="atLeast"/>
      <w:ind w:firstLine="0" w:firstLineChars="0"/>
      <w:jc w:val="center"/>
    </w:pPr>
    <w:rPr>
      <w:rFonts w:ascii="仿宋_GB2312" w:eastAsia="仿宋_GB2312"/>
      <w:kern w:val="0"/>
      <w:sz w:val="21"/>
      <w:szCs w:val="20"/>
    </w:rPr>
  </w:style>
  <w:style w:type="paragraph" w:customStyle="1" w:styleId="153">
    <w:name w:val="防指格式"/>
    <w:qFormat/>
    <w:uiPriority w:val="0"/>
    <w:pPr>
      <w:adjustRightInd w:val="0"/>
      <w:snapToGrid w:val="0"/>
      <w:spacing w:line="500" w:lineRule="atLeast"/>
      <w:ind w:firstLine="601"/>
      <w:jc w:val="both"/>
    </w:pPr>
    <w:rPr>
      <w:rFonts w:ascii="仿宋_GB2312" w:hAnsi="Times New Roman" w:eastAsia="仿宋_GB2312" w:cs="Times New Roman"/>
      <w:sz w:val="28"/>
      <w:szCs w:val="28"/>
      <w:lang w:val="en-US" w:eastAsia="zh-CN" w:bidi="ar-SA"/>
    </w:rPr>
  </w:style>
  <w:style w:type="character" w:customStyle="1" w:styleId="154">
    <w:name w:val="表格 Char"/>
    <w:basedOn w:val="34"/>
    <w:link w:val="43"/>
    <w:qFormat/>
    <w:uiPriority w:val="0"/>
    <w:rPr>
      <w:sz w:val="21"/>
      <w:szCs w:val="21"/>
    </w:rPr>
  </w:style>
  <w:style w:type="paragraph" w:customStyle="1" w:styleId="155">
    <w:name w:val="Char Char Char Char2 Char"/>
    <w:basedOn w:val="1"/>
    <w:qFormat/>
    <w:uiPriority w:val="0"/>
    <w:pPr>
      <w:widowControl/>
      <w:adjustRightInd/>
      <w:snapToGrid/>
      <w:spacing w:after="160" w:line="240" w:lineRule="exact"/>
      <w:ind w:firstLine="0" w:firstLineChars="0"/>
      <w:jc w:val="left"/>
    </w:pPr>
    <w:rPr>
      <w:rFonts w:ascii="Verdana" w:hAnsi="Verdana" w:eastAsia="宋体"/>
      <w:kern w:val="0"/>
      <w:sz w:val="20"/>
      <w:szCs w:val="20"/>
      <w:lang w:eastAsia="en-US"/>
    </w:rPr>
  </w:style>
  <w:style w:type="paragraph" w:customStyle="1" w:styleId="156">
    <w:name w:val="表格2"/>
    <w:basedOn w:val="1"/>
    <w:qFormat/>
    <w:uiPriority w:val="0"/>
    <w:pPr>
      <w:autoSpaceDE w:val="0"/>
      <w:autoSpaceDN w:val="0"/>
      <w:snapToGrid/>
      <w:spacing w:line="300" w:lineRule="exact"/>
      <w:ind w:firstLine="0" w:firstLineChars="0"/>
      <w:jc w:val="center"/>
    </w:pPr>
    <w:rPr>
      <w:rFonts w:ascii="宋体" w:hAnsi="Dutch801 Rm BT" w:eastAsia="宋体"/>
      <w:color w:val="000000"/>
      <w:sz w:val="21"/>
      <w:szCs w:val="20"/>
    </w:rPr>
  </w:style>
  <w:style w:type="paragraph" w:customStyle="1" w:styleId="157">
    <w:name w:val="水规正文文字 Char"/>
    <w:basedOn w:val="1"/>
    <w:qFormat/>
    <w:uiPriority w:val="0"/>
    <w:pPr>
      <w:tabs>
        <w:tab w:val="left" w:pos="2387"/>
        <w:tab w:val="left" w:pos="3159"/>
        <w:tab w:val="left" w:pos="3472"/>
        <w:tab w:val="left" w:pos="5208"/>
      </w:tabs>
      <w:adjustRightInd/>
      <w:snapToGrid/>
      <w:spacing w:line="360" w:lineRule="auto"/>
      <w:ind w:firstLine="755" w:firstLineChars="246"/>
    </w:pPr>
    <w:rPr>
      <w:rFonts w:eastAsia="宋体"/>
      <w:sz w:val="30"/>
      <w:szCs w:val="30"/>
    </w:rPr>
  </w:style>
  <w:style w:type="paragraph" w:customStyle="1" w:styleId="158">
    <w:name w:val="表格单位行"/>
    <w:basedOn w:val="1"/>
    <w:link w:val="179"/>
    <w:qFormat/>
    <w:uiPriority w:val="0"/>
    <w:pPr>
      <w:adjustRightInd/>
      <w:snapToGrid/>
      <w:spacing w:line="400" w:lineRule="exact"/>
      <w:ind w:firstLine="0" w:firstLineChars="0"/>
    </w:pPr>
    <w:rPr>
      <w:rFonts w:eastAsia="宋体"/>
      <w:color w:val="000000"/>
      <w:sz w:val="24"/>
      <w:szCs w:val="20"/>
    </w:rPr>
  </w:style>
  <w:style w:type="paragraph" w:customStyle="1" w:styleId="159">
    <w:name w:val="表格样式1"/>
    <w:basedOn w:val="1"/>
    <w:qFormat/>
    <w:uiPriority w:val="0"/>
    <w:pPr>
      <w:spacing w:line="240" w:lineRule="auto"/>
      <w:ind w:firstLine="0" w:firstLineChars="0"/>
      <w:jc w:val="center"/>
    </w:pPr>
    <w:rPr>
      <w:rFonts w:ascii="宋体" w:hAnsi="宋体" w:eastAsia="宋体"/>
      <w:spacing w:val="-2"/>
      <w:kern w:val="0"/>
      <w:sz w:val="22"/>
      <w:szCs w:val="20"/>
      <w:u w:color="000000"/>
      <w:lang w:val="zh-CN"/>
    </w:rPr>
  </w:style>
  <w:style w:type="paragraph" w:customStyle="1" w:styleId="160">
    <w:name w:val="text"/>
    <w:basedOn w:val="17"/>
    <w:qFormat/>
    <w:uiPriority w:val="0"/>
    <w:pPr>
      <w:spacing w:line="360" w:lineRule="auto"/>
      <w:ind w:firstLine="480"/>
    </w:pPr>
    <w:rPr>
      <w:rFonts w:ascii="仿宋_GB2312" w:hAnsi="宋体" w:eastAsia="仿宋_GB2312" w:cs="Times New Roman"/>
      <w:color w:val="auto"/>
    </w:rPr>
  </w:style>
  <w:style w:type="paragraph" w:customStyle="1" w:styleId="161">
    <w:name w:val="一、"/>
    <w:basedOn w:val="1"/>
    <w:qFormat/>
    <w:uiPriority w:val="0"/>
    <w:pPr>
      <w:adjustRightInd/>
      <w:snapToGrid/>
      <w:spacing w:line="360" w:lineRule="auto"/>
      <w:ind w:firstLine="480"/>
    </w:pPr>
    <w:rPr>
      <w:rFonts w:eastAsia="黑体"/>
      <w:bCs/>
      <w:kern w:val="0"/>
      <w:sz w:val="24"/>
    </w:rPr>
  </w:style>
  <w:style w:type="paragraph" w:customStyle="1" w:styleId="162">
    <w:name w:val="tabhead"/>
    <w:basedOn w:val="17"/>
    <w:qFormat/>
    <w:uiPriority w:val="0"/>
    <w:pPr>
      <w:spacing w:line="360" w:lineRule="auto"/>
      <w:ind w:firstLine="0" w:firstLineChars="0"/>
      <w:jc w:val="left"/>
    </w:pPr>
    <w:rPr>
      <w:rFonts w:hAnsi="宋体" w:cs="Times New Roman"/>
      <w:b/>
      <w:bCs/>
      <w:color w:val="auto"/>
      <w:sz w:val="21"/>
    </w:rPr>
  </w:style>
  <w:style w:type="paragraph" w:customStyle="1" w:styleId="163">
    <w:name w:val="tabtext"/>
    <w:basedOn w:val="14"/>
    <w:qFormat/>
    <w:uiPriority w:val="0"/>
    <w:pPr>
      <w:autoSpaceDE/>
      <w:autoSpaceDN/>
      <w:jc w:val="center"/>
    </w:pPr>
    <w:rPr>
      <w:rFonts w:cs="Times New Roman"/>
      <w:kern w:val="2"/>
      <w:sz w:val="18"/>
      <w:szCs w:val="20"/>
    </w:rPr>
  </w:style>
  <w:style w:type="paragraph" w:customStyle="1" w:styleId="164">
    <w:name w:val="（一）"/>
    <w:basedOn w:val="106"/>
    <w:qFormat/>
    <w:uiPriority w:val="0"/>
    <w:pPr>
      <w:keepNext w:val="0"/>
      <w:keepLines w:val="0"/>
      <w:adjustRightInd/>
      <w:snapToGrid/>
      <w:spacing w:beforeLines="50" w:after="0"/>
      <w:ind w:right="0" w:firstLine="482" w:firstLineChars="200"/>
      <w:outlineLvl w:val="9"/>
    </w:pPr>
    <w:rPr>
      <w:rFonts w:ascii="Times New Roman" w:hAnsi="Times New Roman" w:eastAsia="仿宋_GB2312"/>
      <w:bCs w:val="0"/>
      <w:kern w:val="2"/>
      <w:sz w:val="24"/>
      <w:szCs w:val="21"/>
    </w:rPr>
  </w:style>
  <w:style w:type="paragraph" w:customStyle="1" w:styleId="165">
    <w:name w:val="z-窗体顶端2"/>
    <w:basedOn w:val="1"/>
    <w:next w:val="1"/>
    <w:link w:val="166"/>
    <w:qFormat/>
    <w:uiPriority w:val="0"/>
    <w:pPr>
      <w:widowControl/>
      <w:pBdr>
        <w:bottom w:val="single" w:color="auto" w:sz="6" w:space="1"/>
      </w:pBdr>
      <w:adjustRightInd/>
      <w:snapToGrid/>
      <w:spacing w:line="240" w:lineRule="auto"/>
      <w:ind w:firstLine="0" w:firstLineChars="0"/>
      <w:jc w:val="center"/>
    </w:pPr>
    <w:rPr>
      <w:rFonts w:ascii="Arial" w:hAnsi="Arial" w:eastAsia="宋体" w:cs="Arial"/>
      <w:vanish/>
      <w:kern w:val="0"/>
      <w:sz w:val="16"/>
      <w:szCs w:val="16"/>
    </w:rPr>
  </w:style>
  <w:style w:type="character" w:customStyle="1" w:styleId="166">
    <w:name w:val="z-窗体顶端 Char2"/>
    <w:basedOn w:val="34"/>
    <w:link w:val="165"/>
    <w:qFormat/>
    <w:uiPriority w:val="0"/>
    <w:rPr>
      <w:rFonts w:ascii="Arial" w:hAnsi="Arial" w:cs="Arial"/>
      <w:vanish/>
      <w:sz w:val="16"/>
      <w:szCs w:val="16"/>
    </w:rPr>
  </w:style>
  <w:style w:type="character" w:customStyle="1" w:styleId="167">
    <w:name w:val="z-窗体顶端 Char1"/>
    <w:basedOn w:val="34"/>
    <w:semiHidden/>
    <w:qFormat/>
    <w:uiPriority w:val="99"/>
    <w:rPr>
      <w:rFonts w:ascii="Arial" w:hAnsi="Arial" w:cs="Arial"/>
      <w:vanish/>
      <w:kern w:val="2"/>
      <w:sz w:val="16"/>
      <w:szCs w:val="16"/>
    </w:rPr>
  </w:style>
  <w:style w:type="paragraph" w:customStyle="1" w:styleId="168">
    <w:name w:val="z-窗体底端2"/>
    <w:basedOn w:val="1"/>
    <w:next w:val="1"/>
    <w:link w:val="169"/>
    <w:qFormat/>
    <w:uiPriority w:val="0"/>
    <w:pPr>
      <w:widowControl/>
      <w:pBdr>
        <w:top w:val="single" w:color="auto" w:sz="6" w:space="1"/>
      </w:pBdr>
      <w:adjustRightInd/>
      <w:snapToGrid/>
      <w:spacing w:line="240" w:lineRule="auto"/>
      <w:ind w:firstLine="0" w:firstLineChars="0"/>
      <w:jc w:val="center"/>
    </w:pPr>
    <w:rPr>
      <w:rFonts w:ascii="Arial" w:hAnsi="Arial" w:eastAsia="宋体" w:cs="Arial"/>
      <w:vanish/>
      <w:kern w:val="0"/>
      <w:sz w:val="16"/>
      <w:szCs w:val="16"/>
    </w:rPr>
  </w:style>
  <w:style w:type="character" w:customStyle="1" w:styleId="169">
    <w:name w:val="z-窗体底端 Char2"/>
    <w:basedOn w:val="34"/>
    <w:link w:val="168"/>
    <w:qFormat/>
    <w:uiPriority w:val="0"/>
    <w:rPr>
      <w:rFonts w:ascii="Arial" w:hAnsi="Arial" w:cs="Arial"/>
      <w:vanish/>
      <w:sz w:val="16"/>
      <w:szCs w:val="16"/>
    </w:rPr>
  </w:style>
  <w:style w:type="character" w:customStyle="1" w:styleId="170">
    <w:name w:val="z-窗体底端 Char1"/>
    <w:basedOn w:val="34"/>
    <w:semiHidden/>
    <w:qFormat/>
    <w:uiPriority w:val="99"/>
    <w:rPr>
      <w:rFonts w:ascii="Arial" w:hAnsi="Arial" w:cs="Arial"/>
      <w:vanish/>
      <w:kern w:val="2"/>
      <w:sz w:val="16"/>
      <w:szCs w:val="16"/>
    </w:rPr>
  </w:style>
  <w:style w:type="paragraph" w:customStyle="1" w:styleId="171">
    <w:name w:val="表标题"/>
    <w:basedOn w:val="1"/>
    <w:link w:val="172"/>
    <w:qFormat/>
    <w:uiPriority w:val="0"/>
    <w:pPr>
      <w:keepNext/>
      <w:adjustRightInd/>
      <w:snapToGrid/>
      <w:spacing w:before="120" w:line="240" w:lineRule="auto"/>
      <w:ind w:firstLine="360" w:firstLineChars="0"/>
      <w:jc w:val="left"/>
    </w:pPr>
    <w:rPr>
      <w:rFonts w:eastAsia="黑体"/>
      <w:color w:val="FF0000"/>
      <w:sz w:val="21"/>
      <w:szCs w:val="28"/>
    </w:rPr>
  </w:style>
  <w:style w:type="character" w:customStyle="1" w:styleId="172">
    <w:name w:val="表标题 字符"/>
    <w:link w:val="171"/>
    <w:qFormat/>
    <w:uiPriority w:val="0"/>
    <w:rPr>
      <w:rFonts w:eastAsia="黑体"/>
      <w:color w:val="FF0000"/>
      <w:kern w:val="2"/>
      <w:sz w:val="21"/>
      <w:szCs w:val="28"/>
    </w:rPr>
  </w:style>
  <w:style w:type="paragraph" w:customStyle="1" w:styleId="173">
    <w:name w:val="表头1"/>
    <w:basedOn w:val="1"/>
    <w:link w:val="175"/>
    <w:qFormat/>
    <w:uiPriority w:val="0"/>
    <w:pPr>
      <w:adjustRightInd/>
      <w:snapToGrid/>
      <w:spacing w:beforeLines="50" w:line="440" w:lineRule="exact"/>
      <w:ind w:firstLine="0" w:firstLineChars="0"/>
      <w:jc w:val="center"/>
    </w:pPr>
    <w:rPr>
      <w:rFonts w:ascii="宋体" w:hAnsi="宋体" w:eastAsia="宋体"/>
      <w:b/>
      <w:sz w:val="24"/>
    </w:rPr>
  </w:style>
  <w:style w:type="paragraph" w:customStyle="1" w:styleId="174">
    <w:name w:val="表格1"/>
    <w:basedOn w:val="1"/>
    <w:link w:val="177"/>
    <w:qFormat/>
    <w:uiPriority w:val="0"/>
    <w:pPr>
      <w:adjustRightInd/>
      <w:snapToGrid/>
      <w:spacing w:line="240" w:lineRule="exact"/>
      <w:ind w:firstLine="0" w:firstLineChars="0"/>
      <w:jc w:val="center"/>
    </w:pPr>
    <w:rPr>
      <w:rFonts w:eastAsia="宋体"/>
      <w:sz w:val="20"/>
      <w:szCs w:val="21"/>
    </w:rPr>
  </w:style>
  <w:style w:type="character" w:customStyle="1" w:styleId="175">
    <w:name w:val="表头1 Char"/>
    <w:link w:val="173"/>
    <w:qFormat/>
    <w:uiPriority w:val="0"/>
    <w:rPr>
      <w:rFonts w:ascii="宋体" w:hAnsi="宋体"/>
      <w:b/>
      <w:kern w:val="2"/>
      <w:sz w:val="24"/>
      <w:szCs w:val="24"/>
    </w:rPr>
  </w:style>
  <w:style w:type="paragraph" w:customStyle="1" w:styleId="176">
    <w:name w:val="表头2"/>
    <w:basedOn w:val="1"/>
    <w:link w:val="178"/>
    <w:qFormat/>
    <w:uiPriority w:val="0"/>
    <w:pPr>
      <w:adjustRightInd/>
      <w:snapToGrid/>
      <w:spacing w:line="440" w:lineRule="exact"/>
      <w:ind w:firstLine="420"/>
      <w:jc w:val="left"/>
    </w:pPr>
    <w:rPr>
      <w:rFonts w:ascii="黑体" w:eastAsia="黑体"/>
      <w:sz w:val="21"/>
      <w:szCs w:val="21"/>
    </w:rPr>
  </w:style>
  <w:style w:type="character" w:customStyle="1" w:styleId="177">
    <w:name w:val="表格1 Char"/>
    <w:link w:val="174"/>
    <w:qFormat/>
    <w:uiPriority w:val="0"/>
    <w:rPr>
      <w:kern w:val="2"/>
      <w:szCs w:val="21"/>
    </w:rPr>
  </w:style>
  <w:style w:type="character" w:customStyle="1" w:styleId="178">
    <w:name w:val="表头2 Char"/>
    <w:link w:val="176"/>
    <w:qFormat/>
    <w:uiPriority w:val="0"/>
    <w:rPr>
      <w:rFonts w:ascii="黑体" w:eastAsia="黑体"/>
      <w:kern w:val="2"/>
      <w:sz w:val="21"/>
      <w:szCs w:val="21"/>
    </w:rPr>
  </w:style>
  <w:style w:type="character" w:customStyle="1" w:styleId="179">
    <w:name w:val="表格单位行 Char1"/>
    <w:link w:val="158"/>
    <w:qFormat/>
    <w:uiPriority w:val="0"/>
    <w:rPr>
      <w:color w:val="000000"/>
      <w:kern w:val="2"/>
      <w:sz w:val="24"/>
    </w:rPr>
  </w:style>
  <w:style w:type="paragraph" w:customStyle="1" w:styleId="180">
    <w:name w:val="正文++"/>
    <w:basedOn w:val="1"/>
    <w:link w:val="181"/>
    <w:qFormat/>
    <w:uiPriority w:val="0"/>
    <w:pPr>
      <w:widowControl/>
      <w:adjustRightInd/>
      <w:snapToGrid/>
      <w:spacing w:line="360" w:lineRule="auto"/>
    </w:pPr>
    <w:rPr>
      <w:rFonts w:ascii="宋体" w:hAnsi="宋体" w:eastAsia="宋体"/>
      <w:kern w:val="0"/>
      <w:sz w:val="28"/>
      <w:szCs w:val="28"/>
    </w:rPr>
  </w:style>
  <w:style w:type="character" w:customStyle="1" w:styleId="181">
    <w:name w:val="正文++ Char"/>
    <w:link w:val="180"/>
    <w:qFormat/>
    <w:uiPriority w:val="0"/>
    <w:rPr>
      <w:rFonts w:ascii="宋体" w:hAnsi="宋体"/>
      <w:sz w:val="28"/>
      <w:szCs w:val="28"/>
    </w:rPr>
  </w:style>
  <w:style w:type="paragraph" w:customStyle="1" w:styleId="182">
    <w:name w:val="正文首行缩进2"/>
    <w:basedOn w:val="14"/>
    <w:link w:val="183"/>
    <w:qFormat/>
    <w:uiPriority w:val="0"/>
    <w:pPr>
      <w:overflowPunct w:val="0"/>
      <w:autoSpaceDE/>
      <w:autoSpaceDN/>
      <w:adjustRightInd w:val="0"/>
      <w:snapToGrid w:val="0"/>
      <w:spacing w:line="360" w:lineRule="auto"/>
      <w:ind w:firstLine="200" w:firstLineChars="200"/>
      <w:jc w:val="both"/>
    </w:pPr>
    <w:rPr>
      <w:rFonts w:ascii="Times New Roman" w:hAnsi="Times New Roman" w:eastAsia="仿宋" w:cs="Times New Roman"/>
      <w:kern w:val="2"/>
      <w:sz w:val="30"/>
      <w:szCs w:val="22"/>
    </w:rPr>
  </w:style>
  <w:style w:type="character" w:customStyle="1" w:styleId="183">
    <w:name w:val="正文首行缩进2 Char"/>
    <w:basedOn w:val="34"/>
    <w:link w:val="182"/>
    <w:qFormat/>
    <w:uiPriority w:val="0"/>
    <w:rPr>
      <w:rFonts w:eastAsia="仿宋"/>
      <w:kern w:val="2"/>
      <w:sz w:val="30"/>
      <w:szCs w:val="22"/>
    </w:rPr>
  </w:style>
  <w:style w:type="paragraph" w:customStyle="1" w:styleId="184">
    <w:name w:val="p16"/>
    <w:basedOn w:val="1"/>
    <w:qFormat/>
    <w:uiPriority w:val="0"/>
    <w:pPr>
      <w:widowControl/>
      <w:adjustRightInd/>
      <w:snapToGrid/>
      <w:spacing w:line="460" w:lineRule="atLeast"/>
      <w:ind w:firstLine="420" w:firstLineChars="0"/>
    </w:pPr>
    <w:rPr>
      <w:rFonts w:ascii="仿宋_GB2312" w:hAnsi="仿宋_GB2312" w:eastAsia="宋体" w:cs="宋体"/>
      <w:kern w:val="0"/>
      <w:sz w:val="24"/>
    </w:rPr>
  </w:style>
  <w:style w:type="paragraph" w:customStyle="1" w:styleId="185">
    <w:name w:val="TOC 标题3"/>
    <w:basedOn w:val="4"/>
    <w:next w:val="1"/>
    <w:unhideWhenUsed/>
    <w:qFormat/>
    <w:uiPriority w:val="39"/>
    <w:pPr>
      <w:widowControl/>
      <w:adjustRightInd/>
      <w:snapToGrid/>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86">
    <w:name w:val="WPSOffice手动目录 1"/>
    <w:qFormat/>
    <w:uiPriority w:val="0"/>
    <w:rPr>
      <w:rFonts w:ascii="Times New Roman" w:hAnsi="Times New Roman" w:eastAsia="宋体" w:cs="Times New Roman"/>
      <w:lang w:val="en-US" w:eastAsia="zh-CN" w:bidi="ar-SA"/>
    </w:rPr>
  </w:style>
  <w:style w:type="paragraph" w:customStyle="1" w:styleId="18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8">
    <w:name w:val="样式 题注 + 首行缩进:  2 字符 段前: 0.5 行 段后: 0.5 行"/>
    <w:basedOn w:val="11"/>
    <w:qFormat/>
    <w:uiPriority w:val="0"/>
    <w:rPr>
      <w:rFonts w:ascii="Times New Roman" w:hAnsi="Times New Roman" w:cs="宋体"/>
    </w:rPr>
  </w:style>
  <w:style w:type="paragraph" w:customStyle="1" w:styleId="189">
    <w:name w:val="!表格小五"/>
    <w:basedOn w:val="1"/>
    <w:next w:val="1"/>
    <w:qFormat/>
    <w:uiPriority w:val="0"/>
    <w:pPr>
      <w:widowControl/>
      <w:jc w:val="center"/>
    </w:pPr>
    <w:rPr>
      <w:rFonts w:eastAsia="新宋体" w:cs="宋体"/>
      <w:kern w:val="0"/>
      <w:sz w:val="18"/>
      <w:szCs w:val="18"/>
    </w:rPr>
  </w:style>
  <w:style w:type="character" w:customStyle="1" w:styleId="190">
    <w:name w:val="font41"/>
    <w:basedOn w:val="34"/>
    <w:qFormat/>
    <w:uiPriority w:val="0"/>
    <w:rPr>
      <w:rFonts w:hint="default" w:ascii="Times New Roman" w:hAnsi="Times New Roman" w:cs="Times New Roman"/>
      <w:b/>
      <w:bCs/>
      <w:color w:val="000000"/>
      <w:sz w:val="24"/>
      <w:szCs w:val="24"/>
      <w:u w:val="none"/>
    </w:rPr>
  </w:style>
  <w:style w:type="character" w:customStyle="1" w:styleId="191">
    <w:name w:val="font51"/>
    <w:basedOn w:val="34"/>
    <w:qFormat/>
    <w:uiPriority w:val="0"/>
    <w:rPr>
      <w:rFonts w:hint="default" w:ascii="Times New Roman" w:hAnsi="Times New Roman" w:cs="Times New Roman"/>
      <w:b/>
      <w:bCs/>
      <w:color w:val="000000"/>
      <w:sz w:val="24"/>
      <w:szCs w:val="24"/>
      <w:u w:val="none"/>
      <w:vertAlign w:val="superscript"/>
    </w:rPr>
  </w:style>
  <w:style w:type="character" w:customStyle="1" w:styleId="192">
    <w:name w:val="font21"/>
    <w:basedOn w:val="34"/>
    <w:qFormat/>
    <w:uiPriority w:val="0"/>
    <w:rPr>
      <w:rFonts w:hint="eastAsia" w:ascii="宋体" w:hAnsi="宋体" w:eastAsia="宋体" w:cs="宋体"/>
      <w:b/>
      <w:bCs/>
      <w:color w:val="000000"/>
      <w:sz w:val="24"/>
      <w:szCs w:val="24"/>
      <w:u w:val="none"/>
    </w:rPr>
  </w:style>
  <w:style w:type="character" w:customStyle="1" w:styleId="193">
    <w:name w:val="font01"/>
    <w:basedOn w:val="34"/>
    <w:qFormat/>
    <w:uiPriority w:val="0"/>
    <w:rPr>
      <w:rFonts w:hint="eastAsia" w:ascii="宋体" w:hAnsi="宋体" w:eastAsia="宋体" w:cs="宋体"/>
      <w:color w:val="000000"/>
      <w:sz w:val="24"/>
      <w:szCs w:val="24"/>
      <w:u w:val="none"/>
    </w:rPr>
  </w:style>
  <w:style w:type="character" w:customStyle="1" w:styleId="194">
    <w:name w:val="font11"/>
    <w:basedOn w:val="34"/>
    <w:qFormat/>
    <w:uiPriority w:val="0"/>
    <w:rPr>
      <w:rFonts w:hint="eastAsia" w:ascii="宋体" w:hAnsi="宋体" w:eastAsia="宋体" w:cs="宋体"/>
      <w:color w:val="000000"/>
      <w:sz w:val="24"/>
      <w:szCs w:val="24"/>
      <w:u w:val="none"/>
      <w:vertAlign w:val="superscript"/>
    </w:rPr>
  </w:style>
  <w:style w:type="character" w:customStyle="1" w:styleId="195">
    <w:name w:val="font61"/>
    <w:basedOn w:val="34"/>
    <w:qFormat/>
    <w:uiPriority w:val="0"/>
    <w:rPr>
      <w:rFonts w:hint="eastAsia" w:ascii="宋体" w:hAnsi="宋体" w:eastAsia="宋体" w:cs="宋体"/>
      <w:color w:val="000000"/>
      <w:sz w:val="18"/>
      <w:szCs w:val="18"/>
      <w:u w:val="none"/>
      <w:vertAlign w:val="superscript"/>
    </w:rPr>
  </w:style>
  <w:style w:type="character" w:customStyle="1" w:styleId="196">
    <w:name w:val="font31"/>
    <w:basedOn w:val="34"/>
    <w:qFormat/>
    <w:uiPriority w:val="0"/>
    <w:rPr>
      <w:rFonts w:hint="eastAsia" w:ascii="宋体" w:hAnsi="宋体" w:eastAsia="宋体" w:cs="宋体"/>
      <w:color w:val="000000"/>
      <w:sz w:val="21"/>
      <w:szCs w:val="21"/>
      <w:u w:val="none"/>
    </w:rPr>
  </w:style>
  <w:style w:type="paragraph" w:customStyle="1" w:styleId="197">
    <w:name w:val="z正文"/>
    <w:basedOn w:val="1"/>
    <w:qFormat/>
    <w:uiPriority w:val="0"/>
    <w:pPr>
      <w:snapToGrid w:val="0"/>
      <w:spacing w:line="360" w:lineRule="auto"/>
      <w:ind w:firstLine="560" w:firstLineChars="200"/>
    </w:pPr>
    <w:rPr>
      <w:rFonts w:eastAsia="仿宋_GB2312"/>
      <w:snapToGrid w:val="0"/>
      <w:kern w:val="0"/>
      <w:sz w:val="28"/>
      <w:szCs w:val="28"/>
    </w:rPr>
  </w:style>
  <w:style w:type="paragraph" w:customStyle="1" w:styleId="198">
    <w:name w:val="ZX-正文"/>
    <w:basedOn w:val="1"/>
    <w:qFormat/>
    <w:uiPriority w:val="0"/>
    <w:pPr>
      <w:widowControl/>
      <w:spacing w:line="360" w:lineRule="auto"/>
      <w:ind w:firstLine="200" w:firstLineChars="200"/>
    </w:pPr>
    <w:rPr>
      <w:rFonts w:ascii="Times New Roman" w:hAnsi="Times New Roman"/>
      <w:sz w:val="30"/>
    </w:rPr>
  </w:style>
  <w:style w:type="paragraph" w:customStyle="1" w:styleId="199">
    <w:name w:val="Z正文"/>
    <w:basedOn w:val="1"/>
    <w:qFormat/>
    <w:uiPriority w:val="0"/>
    <w:pPr>
      <w:widowControl/>
      <w:adjustRightInd w:val="0"/>
      <w:spacing w:line="560" w:lineRule="exact"/>
      <w:ind w:firstLine="200" w:firstLineChars="200"/>
    </w:pPr>
    <w:rPr>
      <w:snapToGrid w:val="0"/>
      <w:color w:val="000000"/>
      <w:kern w:val="0"/>
      <w:sz w:val="28"/>
    </w:rPr>
  </w:style>
  <w:style w:type="paragraph" w:customStyle="1" w:styleId="200">
    <w:name w:val="Default"/>
    <w:unhideWhenUsed/>
    <w:qFormat/>
    <w:uiPriority w:val="99"/>
    <w:pPr>
      <w:widowControl w:val="0"/>
      <w:autoSpaceDE w:val="0"/>
      <w:autoSpaceDN w:val="0"/>
      <w:adjustRightInd w:val="0"/>
      <w:spacing w:beforeLines="0" w:afterLines="0"/>
    </w:pPr>
    <w:rPr>
      <w:rFonts w:hint="default" w:ascii="FangSong_GB2312" w:hAnsi="FangSong_GB2312" w:eastAsia="FangSong_GB2312" w:cs="Times New Roman"/>
      <w:color w:val="000000"/>
      <w:sz w:val="24"/>
      <w:szCs w:val="24"/>
    </w:rPr>
  </w:style>
  <w:style w:type="table" w:customStyle="1" w:styleId="201">
    <w:name w:val="Table Normal"/>
    <w:autoRedefine/>
    <w:semiHidden/>
    <w:unhideWhenUsed/>
    <w:qFormat/>
    <w:uiPriority w:val="0"/>
    <w:tblPr>
      <w:tblCellMar>
        <w:top w:w="0" w:type="dxa"/>
        <w:left w:w="0" w:type="dxa"/>
        <w:bottom w:w="0" w:type="dxa"/>
        <w:right w:w="0" w:type="dxa"/>
      </w:tblCellMar>
    </w:tblPr>
  </w:style>
  <w:style w:type="paragraph" w:customStyle="1" w:styleId="202">
    <w:name w:val="NormalIndent"/>
    <w:basedOn w:val="1"/>
    <w:next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jpeg"/><Relationship Id="rId23" Type="http://schemas.openxmlformats.org/officeDocument/2006/relationships/chart" Target="charts/chart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t>泽州县地形地貌分布图</a:t>
            </a:r>
          </a:p>
        </c:rich>
      </c:tx>
      <c:layout/>
      <c:overlay val="0"/>
      <c:spPr>
        <a:noFill/>
        <a:ln>
          <a:noFill/>
        </a:ln>
        <a:effectLst/>
      </c:spPr>
    </c:title>
    <c:autoTitleDeleted val="0"/>
    <c:plotArea>
      <c:layout/>
      <c:pieChart>
        <c:varyColors val="1"/>
        <c:ser>
          <c:idx val="0"/>
          <c:order val="0"/>
          <c:spPr>
            <a:gradFill>
              <a:gsLst>
                <a:gs pos="0">
                  <a:srgbClr val="7B32B2"/>
                </a:gs>
                <a:gs pos="100000">
                  <a:srgbClr val="401A5D"/>
                </a:gs>
              </a:gsLst>
              <a:path path="circle"/>
            </a:gradFill>
          </c:spPr>
          <c:explosion val="0"/>
          <c:dPt>
            <c:idx val="0"/>
            <c:bubble3D val="0"/>
            <c:spPr>
              <a:gradFill>
                <a:gsLst>
                  <a:gs pos="0">
                    <a:srgbClr val="7B32B2"/>
                  </a:gs>
                  <a:gs pos="100000">
                    <a:srgbClr val="401A5D"/>
                  </a:gs>
                </a:gsLst>
                <a:path path="circle"/>
              </a:gradFill>
              <a:ln>
                <a:noFill/>
              </a:ln>
              <a:effectLst>
                <a:outerShdw blurRad="254000" sx="102000" sy="102000" algn="ctr" rotWithShape="0">
                  <a:prstClr val="black">
                    <a:alpha val="20000"/>
                  </a:prstClr>
                </a:outerShdw>
              </a:effectLst>
            </c:spPr>
          </c:dPt>
          <c:dPt>
            <c:idx val="1"/>
            <c:bubble3D val="0"/>
            <c:spPr>
              <a:solidFill>
                <a:schemeClr val="accent1"/>
              </a:solidFill>
              <a:ln>
                <a:noFill/>
              </a:ln>
              <a:effectLst>
                <a:outerShdw blurRad="254000" sx="102000" sy="102000" algn="ctr" rotWithShape="0">
                  <a:prstClr val="black">
                    <a:alpha val="20000"/>
                  </a:prstClr>
                </a:outerShdw>
              </a:effectLst>
            </c:spPr>
          </c:dPt>
          <c:dPt>
            <c:idx val="2"/>
            <c:bubble3D val="0"/>
            <c:spPr>
              <a:solidFill>
                <a:schemeClr val="accent4">
                  <a:lumMod val="60000"/>
                  <a:lumOff val="40000"/>
                </a:schemeClr>
              </a:solidFill>
              <a:ln>
                <a:noFill/>
              </a:ln>
              <a:effectLst>
                <a:outerShdw blurRad="254000" sx="102000" sy="102000" algn="ctr" rotWithShape="0">
                  <a:prstClr val="black">
                    <a:alpha val="20000"/>
                  </a:prstClr>
                </a:outerShdw>
              </a:effectLst>
            </c:spPr>
          </c:dPt>
          <c:dLbls>
            <c:dLbl>
              <c:idx val="0"/>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60.8%</a:t>
                    </a:r>
                  </a:p>
                </c:rich>
              </c:tx>
              <c:dLblPos val="ctr"/>
              <c:showLegendKey val="0"/>
              <c:showVal val="1"/>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30.9%</a:t>
                    </a:r>
                  </a:p>
                </c:rich>
              </c:tx>
              <c:dLblPos val="ctr"/>
              <c:showLegendKey val="0"/>
              <c:showVal val="1"/>
              <c:showCatName val="0"/>
              <c:showSerName val="0"/>
              <c:showPercent val="1"/>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t>8.3%</a:t>
                    </a:r>
                  </a:p>
                </c:rich>
              </c:tx>
              <c:dLblPos val="ctr"/>
              <c:showLegendKey val="0"/>
              <c:showVal val="1"/>
              <c:showCatName val="0"/>
              <c:showSerName val="0"/>
              <c:showPercent val="1"/>
              <c:showBubbleSize val="0"/>
              <c:extLst>
                <c:ext xmlns:c15="http://schemas.microsoft.com/office/drawing/2012/chart" uri="{CE6537A1-D6FC-4f65-9D91-7224C49458BB}"/>
              </c:extLst>
            </c:dLbl>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[工作簿1]Sheet1!$K$10:$K$12</c:f>
              <c:strCache>
                <c:ptCount val="3"/>
                <c:pt idx="0">
                  <c:v>山地</c:v>
                </c:pt>
                <c:pt idx="1">
                  <c:v>丘陵</c:v>
                </c:pt>
                <c:pt idx="2">
                  <c:v>平川</c:v>
                </c:pt>
              </c:strCache>
            </c:strRef>
          </c:cat>
          <c:val>
            <c:numRef>
              <c:f>[工作簿1]Sheet1!$L$10:$L$12</c:f>
              <c:numCache>
                <c:formatCode>0.0%</c:formatCode>
                <c:ptCount val="3"/>
                <c:pt idx="0">
                  <c:v>0.608</c:v>
                </c:pt>
                <c:pt idx="1">
                  <c:v>0.309</c:v>
                </c:pt>
                <c:pt idx="2">
                  <c:v>0.083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extLst>
      <c:ext uri="{0b15fc19-7d7d-44ad-8c2d-2c3a37ce22c3}">
        <chartProps xmlns="https://web.wps.cn/et/2018/main" chartId="{ea5bf967-504a-4318-b02a-51cce868c4fc}"/>
      </c:ext>
    </c:extLst>
  </c:chart>
  <c:spPr>
    <a:no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12293D-A456-4489-9347-CED56EFFFBAC}">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136</Pages>
  <Words>3036</Words>
  <Characters>3421</Characters>
  <Lines>246</Lines>
  <Paragraphs>286</Paragraphs>
  <TotalTime>5</TotalTime>
  <ScaleCrop>false</ScaleCrop>
  <LinksUpToDate>false</LinksUpToDate>
  <CharactersWithSpaces>3591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2020-10-29T08:25:00Z</dcterms:created>
  <dc:creator>qing yang</dc:creator>
  <cp:lastModifiedBy>小娜</cp:lastModifiedBy>
  <cp:lastPrinted>2024-10-21T01:35:00Z</cp:lastPrinted>
  <dcterms:modified xsi:type="dcterms:W3CDTF">2025-09-22T09:17:01Z</dcterms:modified>
  <dc:title>全国水利基础设施空间布局规划编写提纲</dc:title>
  <cp:revision>513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4A7FBEA99A594724B611A72EBAED4C46_13</vt:lpwstr>
  </property>
  <property fmtid="{D5CDD505-2E9C-101B-9397-08002B2CF9AE}" pid="4" name="KSOTemplateDocerSaveRecord">
    <vt:lpwstr>eyJoZGlkIjoiNjA2OWQwOWE0Y2FhOWNlODRjZTVkY2Q2Yjk4NzcyNmUifQ==</vt:lpwstr>
  </property>
</Properties>
</file>