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00" w:type="pct"/>
        <w:tblInd w:w="0" w:type="dxa"/>
        <w:shd w:val="clear" w:color="auto" w:fill="auto"/>
        <w:tblLayout w:type="autofit"/>
        <w:tblCellMar>
          <w:top w:w="0" w:type="dxa"/>
          <w:left w:w="0" w:type="dxa"/>
          <w:bottom w:w="0" w:type="dxa"/>
          <w:right w:w="0" w:type="dxa"/>
        </w:tblCellMar>
      </w:tblPr>
      <w:tblGrid>
        <w:gridCol w:w="921"/>
        <w:gridCol w:w="3090"/>
        <w:gridCol w:w="921"/>
        <w:gridCol w:w="3374"/>
      </w:tblGrid>
      <w:tr>
        <w:tblPrEx>
          <w:tblCellMar>
            <w:top w:w="0" w:type="dxa"/>
            <w:left w:w="0" w:type="dxa"/>
            <w:bottom w:w="0" w:type="dxa"/>
            <w:right w:w="0" w:type="dxa"/>
          </w:tblCellMar>
        </w:tblPrEx>
        <w:trPr>
          <w:trHeight w:val="675" w:hRule="atLeast"/>
        </w:trPr>
        <w:tc>
          <w:tcPr>
            <w:tcW w:w="0" w:type="auto"/>
            <w:gridSpan w:val="4"/>
            <w:tcBorders>
              <w:bottom w:val="single" w:color="auto"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val="0"/>
                <w:color w:val="333333"/>
                <w:sz w:val="24"/>
                <w:szCs w:val="24"/>
              </w:rPr>
            </w:pPr>
            <w:r>
              <w:rPr>
                <w:rFonts w:hint="eastAsia" w:asciiTheme="majorEastAsia" w:hAnsiTheme="majorEastAsia" w:eastAsiaTheme="majorEastAsia" w:cstheme="majorEastAsia"/>
                <w:b w:val="0"/>
                <w:color w:val="333333"/>
                <w:sz w:val="44"/>
                <w:szCs w:val="44"/>
              </w:rPr>
              <w:t>公共场所卫生管理条例(国发[1987]24号)(2016年修订本)</w:t>
            </w:r>
          </w:p>
        </w:tc>
      </w:tr>
      <w:tr>
        <w:tblPrEx>
          <w:tblCellMar>
            <w:top w:w="0" w:type="dxa"/>
            <w:left w:w="0" w:type="dxa"/>
            <w:bottom w:w="0" w:type="dxa"/>
            <w:right w:w="0" w:type="dxa"/>
          </w:tblCellMar>
        </w:tblPrEx>
        <w:trPr>
          <w:trHeight w:val="675" w:hRule="atLeast"/>
        </w:trPr>
        <w:tc>
          <w:tcPr>
            <w:tcW w:w="1425" w:type="dxa"/>
            <w:tcBorders>
              <w:top w:val="single" w:color="auto" w:sz="4" w:space="0"/>
              <w:left w:val="single" w:color="auto" w:sz="4" w:space="0"/>
              <w:bottom w:val="single" w:color="auto" w:sz="4" w:space="0"/>
              <w:right w:val="single" w:color="auto" w:sz="4" w:space="0"/>
            </w:tcBorders>
            <w:shd w:val="clear" w:color="auto" w:fill="F5F5F5"/>
            <w:vAlign w:val="center"/>
          </w:tcPr>
          <w:p>
            <w:pPr>
              <w:keepNext w:val="0"/>
              <w:keepLines w:val="0"/>
              <w:widowControl/>
              <w:suppressLineNumbers w:val="0"/>
              <w:shd w:val="clear" w:fill="F5F5F5"/>
              <w:spacing w:before="0" w:beforeAutospacing="0" w:after="0" w:afterAutospacing="0"/>
              <w:ind w:left="0" w:right="0"/>
              <w:jc w:val="center"/>
              <w:rPr>
                <w:rFonts w:hint="eastAsia" w:ascii="仿宋" w:hAnsi="仿宋" w:eastAsia="仿宋" w:cs="仿宋"/>
                <w:color w:val="000000"/>
                <w:sz w:val="32"/>
                <w:szCs w:val="32"/>
              </w:rPr>
            </w:pPr>
            <w:r>
              <w:rPr>
                <w:rStyle w:val="5"/>
                <w:rFonts w:hint="eastAsia" w:ascii="仿宋" w:hAnsi="仿宋" w:eastAsia="仿宋" w:cs="仿宋"/>
                <w:i w:val="0"/>
                <w:color w:val="888888"/>
                <w:kern w:val="0"/>
                <w:sz w:val="32"/>
                <w:szCs w:val="32"/>
                <w:lang w:val="en-US" w:eastAsia="zh-CN" w:bidi="ar"/>
              </w:rPr>
              <w:t>发布机构</w:t>
            </w:r>
          </w:p>
        </w:tc>
        <w:tc>
          <w:tcPr>
            <w:tcW w:w="4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国务院</w:t>
            </w:r>
          </w:p>
        </w:tc>
        <w:tc>
          <w:tcPr>
            <w:tcW w:w="1425" w:type="dxa"/>
            <w:tcBorders>
              <w:top w:val="single" w:color="auto" w:sz="4" w:space="0"/>
              <w:left w:val="single" w:color="auto" w:sz="4" w:space="0"/>
              <w:bottom w:val="single" w:color="auto" w:sz="4" w:space="0"/>
              <w:right w:val="single" w:color="auto" w:sz="4" w:space="0"/>
            </w:tcBorders>
            <w:shd w:val="clear" w:color="auto" w:fill="F5F5F5"/>
            <w:vAlign w:val="center"/>
          </w:tcPr>
          <w:p>
            <w:pPr>
              <w:keepNext w:val="0"/>
              <w:keepLines w:val="0"/>
              <w:widowControl/>
              <w:suppressLineNumbers w:val="0"/>
              <w:shd w:val="clear" w:fill="F5F5F5"/>
              <w:spacing w:before="0" w:beforeAutospacing="0" w:after="0" w:afterAutospacing="0"/>
              <w:ind w:left="0" w:right="0"/>
              <w:jc w:val="center"/>
              <w:rPr>
                <w:rFonts w:hint="eastAsia" w:ascii="仿宋" w:hAnsi="仿宋" w:eastAsia="仿宋" w:cs="仿宋"/>
                <w:color w:val="000000"/>
                <w:sz w:val="32"/>
                <w:szCs w:val="32"/>
              </w:rPr>
            </w:pPr>
            <w:r>
              <w:rPr>
                <w:rStyle w:val="5"/>
                <w:rFonts w:hint="eastAsia" w:ascii="仿宋" w:hAnsi="仿宋" w:eastAsia="仿宋" w:cs="仿宋"/>
                <w:i w:val="0"/>
                <w:color w:val="888888"/>
                <w:kern w:val="0"/>
                <w:sz w:val="32"/>
                <w:szCs w:val="32"/>
                <w:lang w:val="en-US" w:eastAsia="zh-CN" w:bidi="ar"/>
              </w:rPr>
              <w:t>文号</w:t>
            </w:r>
          </w:p>
        </w:tc>
        <w:tc>
          <w:tcPr>
            <w:tcW w:w="4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国发[1987]24号</w:t>
            </w:r>
          </w:p>
        </w:tc>
      </w:tr>
      <w:tr>
        <w:tblPrEx>
          <w:tblCellMar>
            <w:top w:w="0" w:type="dxa"/>
            <w:left w:w="0" w:type="dxa"/>
            <w:bottom w:w="0" w:type="dxa"/>
            <w:right w:w="0" w:type="dxa"/>
          </w:tblCellMar>
        </w:tblPrEx>
        <w:trPr>
          <w:trHeight w:val="675" w:hRule="atLeast"/>
        </w:trPr>
        <w:tc>
          <w:tcPr>
            <w:tcW w:w="1425" w:type="dxa"/>
            <w:tcBorders>
              <w:top w:val="single" w:color="auto" w:sz="4" w:space="0"/>
              <w:left w:val="single" w:color="auto" w:sz="4" w:space="0"/>
              <w:bottom w:val="single" w:color="auto" w:sz="4" w:space="0"/>
              <w:right w:val="single" w:color="auto" w:sz="4" w:space="0"/>
            </w:tcBorders>
            <w:shd w:val="clear" w:color="auto" w:fill="F5F5F5"/>
            <w:vAlign w:val="center"/>
          </w:tcPr>
          <w:p>
            <w:pPr>
              <w:keepNext w:val="0"/>
              <w:keepLines w:val="0"/>
              <w:widowControl/>
              <w:suppressLineNumbers w:val="0"/>
              <w:shd w:val="clear" w:fill="F5F5F5"/>
              <w:spacing w:before="0" w:beforeAutospacing="0" w:after="0" w:afterAutospacing="0"/>
              <w:ind w:left="0" w:right="0"/>
              <w:jc w:val="center"/>
              <w:rPr>
                <w:rFonts w:hint="eastAsia" w:ascii="仿宋" w:hAnsi="仿宋" w:eastAsia="仿宋" w:cs="仿宋"/>
                <w:color w:val="000000"/>
                <w:sz w:val="32"/>
                <w:szCs w:val="32"/>
              </w:rPr>
            </w:pPr>
            <w:r>
              <w:rPr>
                <w:rStyle w:val="5"/>
                <w:rFonts w:hint="eastAsia" w:ascii="仿宋" w:hAnsi="仿宋" w:eastAsia="仿宋" w:cs="仿宋"/>
                <w:i w:val="0"/>
                <w:color w:val="888888"/>
                <w:kern w:val="0"/>
                <w:sz w:val="32"/>
                <w:szCs w:val="32"/>
                <w:lang w:val="en-US" w:eastAsia="zh-CN" w:bidi="ar"/>
              </w:rPr>
              <w:t>发布时间</w:t>
            </w:r>
          </w:p>
        </w:tc>
        <w:tc>
          <w:tcPr>
            <w:tcW w:w="4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1987-04-01</w:t>
            </w:r>
          </w:p>
        </w:tc>
        <w:tc>
          <w:tcPr>
            <w:tcW w:w="1425" w:type="dxa"/>
            <w:tcBorders>
              <w:top w:val="single" w:color="auto" w:sz="4" w:space="0"/>
              <w:left w:val="single" w:color="auto" w:sz="4" w:space="0"/>
              <w:bottom w:val="single" w:color="auto" w:sz="4" w:space="0"/>
              <w:right w:val="single" w:color="auto" w:sz="4" w:space="0"/>
            </w:tcBorders>
            <w:shd w:val="clear" w:color="auto" w:fill="F5F5F5"/>
            <w:vAlign w:val="center"/>
          </w:tcPr>
          <w:p>
            <w:pPr>
              <w:keepNext w:val="0"/>
              <w:keepLines w:val="0"/>
              <w:widowControl/>
              <w:suppressLineNumbers w:val="0"/>
              <w:shd w:val="clear" w:fill="F5F5F5"/>
              <w:spacing w:before="0" w:beforeAutospacing="0" w:after="0" w:afterAutospacing="0"/>
              <w:ind w:left="0" w:right="0"/>
              <w:jc w:val="center"/>
              <w:rPr>
                <w:rFonts w:hint="eastAsia" w:ascii="仿宋" w:hAnsi="仿宋" w:eastAsia="仿宋" w:cs="仿宋"/>
                <w:color w:val="000000"/>
                <w:sz w:val="32"/>
                <w:szCs w:val="32"/>
              </w:rPr>
            </w:pPr>
            <w:r>
              <w:rPr>
                <w:rStyle w:val="5"/>
                <w:rFonts w:hint="eastAsia" w:ascii="仿宋" w:hAnsi="仿宋" w:eastAsia="仿宋" w:cs="仿宋"/>
                <w:i w:val="0"/>
                <w:color w:val="888888"/>
                <w:kern w:val="0"/>
                <w:sz w:val="32"/>
                <w:szCs w:val="32"/>
                <w:lang w:val="en-US" w:eastAsia="zh-CN" w:bidi="ar"/>
              </w:rPr>
              <w:t>实施时间</w:t>
            </w:r>
          </w:p>
        </w:tc>
        <w:tc>
          <w:tcPr>
            <w:tcW w:w="4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1987-04-01</w:t>
            </w:r>
          </w:p>
        </w:tc>
      </w:tr>
      <w:tr>
        <w:tblPrEx>
          <w:tblCellMar>
            <w:top w:w="0" w:type="dxa"/>
            <w:left w:w="0" w:type="dxa"/>
            <w:bottom w:w="0" w:type="dxa"/>
            <w:right w:w="0" w:type="dxa"/>
          </w:tblCellMar>
        </w:tblPrEx>
        <w:trPr>
          <w:trHeight w:val="675" w:hRule="atLeast"/>
        </w:trPr>
        <w:tc>
          <w:tcPr>
            <w:tcW w:w="1425" w:type="dxa"/>
            <w:tcBorders>
              <w:top w:val="single" w:color="auto" w:sz="4" w:space="0"/>
              <w:left w:val="single" w:color="auto" w:sz="4" w:space="0"/>
              <w:bottom w:val="single" w:color="auto" w:sz="4" w:space="0"/>
              <w:right w:val="single" w:color="auto" w:sz="4" w:space="0"/>
            </w:tcBorders>
            <w:shd w:val="clear" w:color="auto" w:fill="F5F5F5"/>
            <w:vAlign w:val="center"/>
          </w:tcPr>
          <w:p>
            <w:pPr>
              <w:keepNext w:val="0"/>
              <w:keepLines w:val="0"/>
              <w:widowControl/>
              <w:suppressLineNumbers w:val="0"/>
              <w:shd w:val="clear" w:fill="F5F5F5"/>
              <w:spacing w:before="0" w:beforeAutospacing="0" w:after="0" w:afterAutospacing="0"/>
              <w:ind w:left="0" w:right="0"/>
              <w:jc w:val="center"/>
              <w:rPr>
                <w:rFonts w:hint="eastAsia" w:ascii="仿宋" w:hAnsi="仿宋" w:eastAsia="仿宋" w:cs="仿宋"/>
                <w:color w:val="000000"/>
                <w:sz w:val="32"/>
                <w:szCs w:val="32"/>
              </w:rPr>
            </w:pPr>
            <w:r>
              <w:rPr>
                <w:rStyle w:val="5"/>
                <w:rFonts w:hint="eastAsia" w:ascii="仿宋" w:hAnsi="仿宋" w:eastAsia="仿宋" w:cs="仿宋"/>
                <w:i w:val="0"/>
                <w:color w:val="888888"/>
                <w:kern w:val="0"/>
                <w:sz w:val="32"/>
                <w:szCs w:val="32"/>
                <w:lang w:val="en-US" w:eastAsia="zh-CN" w:bidi="ar"/>
              </w:rPr>
              <w:t>状态</w:t>
            </w:r>
          </w:p>
        </w:tc>
        <w:tc>
          <w:tcPr>
            <w:tcW w:w="43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现行有效</w:t>
            </w:r>
          </w:p>
        </w:tc>
        <w:tc>
          <w:tcPr>
            <w:tcW w:w="1425" w:type="dxa"/>
            <w:tcBorders>
              <w:top w:val="single" w:color="auto" w:sz="4" w:space="0"/>
              <w:left w:val="single" w:color="auto" w:sz="4" w:space="0"/>
              <w:bottom w:val="single" w:color="auto" w:sz="4" w:space="0"/>
              <w:right w:val="single" w:color="auto" w:sz="4" w:space="0"/>
            </w:tcBorders>
            <w:shd w:val="clear" w:color="auto" w:fill="F5F5F5"/>
            <w:vAlign w:val="center"/>
          </w:tcPr>
          <w:p>
            <w:pPr>
              <w:keepNext w:val="0"/>
              <w:keepLines w:val="0"/>
              <w:widowControl/>
              <w:suppressLineNumbers w:val="0"/>
              <w:shd w:val="clear" w:fill="F5F5F5"/>
              <w:spacing w:before="0" w:beforeAutospacing="0" w:after="0" w:afterAutospacing="0"/>
              <w:ind w:left="0" w:right="0"/>
              <w:jc w:val="center"/>
              <w:rPr>
                <w:rFonts w:hint="eastAsia" w:ascii="仿宋" w:hAnsi="仿宋" w:eastAsia="仿宋" w:cs="仿宋"/>
                <w:color w:val="000000"/>
                <w:sz w:val="32"/>
                <w:szCs w:val="32"/>
              </w:rPr>
            </w:pPr>
            <w:r>
              <w:rPr>
                <w:rStyle w:val="5"/>
                <w:rFonts w:hint="eastAsia" w:ascii="仿宋" w:hAnsi="仿宋" w:eastAsia="仿宋" w:cs="仿宋"/>
                <w:i w:val="0"/>
                <w:color w:val="888888"/>
                <w:kern w:val="0"/>
                <w:sz w:val="32"/>
                <w:szCs w:val="32"/>
                <w:lang w:val="en-US" w:eastAsia="zh-CN" w:bidi="ar"/>
              </w:rPr>
              <w:t>来源</w:t>
            </w:r>
          </w:p>
        </w:tc>
        <w:tc>
          <w:tcPr>
            <w:tcW w:w="4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u w:val="none"/>
                <w:lang w:val="en-US" w:eastAsia="zh-CN" w:bidi="ar"/>
              </w:rPr>
              <w:fldChar w:fldCharType="begin"/>
            </w:r>
            <w:r>
              <w:rPr>
                <w:rFonts w:hint="eastAsia" w:ascii="仿宋" w:hAnsi="仿宋" w:eastAsia="仿宋" w:cs="仿宋"/>
                <w:color w:val="000000"/>
                <w:kern w:val="0"/>
                <w:sz w:val="32"/>
                <w:szCs w:val="32"/>
                <w:u w:val="none"/>
                <w:lang w:val="en-US" w:eastAsia="zh-CN" w:bidi="ar"/>
              </w:rPr>
              <w:instrText xml:space="preserve"> HYPERLINK "http://www.gov.cn/banshi/2005-08/01/content_19033.htm" \t "http://www.foodcta.com/spfg/_blank" </w:instrText>
            </w:r>
            <w:r>
              <w:rPr>
                <w:rFonts w:hint="eastAsia" w:ascii="仿宋" w:hAnsi="仿宋" w:eastAsia="仿宋" w:cs="仿宋"/>
                <w:color w:val="000000"/>
                <w:kern w:val="0"/>
                <w:sz w:val="32"/>
                <w:szCs w:val="32"/>
                <w:u w:val="none"/>
                <w:lang w:val="en-US" w:eastAsia="zh-CN" w:bidi="ar"/>
              </w:rPr>
              <w:fldChar w:fldCharType="separate"/>
            </w:r>
            <w:r>
              <w:rPr>
                <w:rStyle w:val="6"/>
                <w:rFonts w:hint="eastAsia" w:ascii="仿宋" w:hAnsi="仿宋" w:eastAsia="仿宋" w:cs="仿宋"/>
                <w:color w:val="000000"/>
                <w:sz w:val="32"/>
                <w:szCs w:val="32"/>
                <w:u w:val="none"/>
              </w:rPr>
              <w:t>中国政府网</w:t>
            </w:r>
            <w:r>
              <w:rPr>
                <w:rFonts w:hint="eastAsia" w:ascii="仿宋" w:hAnsi="仿宋" w:eastAsia="仿宋" w:cs="仿宋"/>
                <w:color w:val="000000"/>
                <w:kern w:val="0"/>
                <w:sz w:val="32"/>
                <w:szCs w:val="32"/>
                <w:u w:val="none"/>
                <w:lang w:val="en-US" w:eastAsia="zh-CN" w:bidi="ar"/>
              </w:rPr>
              <w:fldChar w:fldCharType="end"/>
            </w:r>
          </w:p>
        </w:tc>
      </w:tr>
      <w:tr>
        <w:tblPrEx>
          <w:tblCellMar>
            <w:top w:w="0" w:type="dxa"/>
            <w:left w:w="0" w:type="dxa"/>
            <w:bottom w:w="0" w:type="dxa"/>
            <w:right w:w="0" w:type="dxa"/>
          </w:tblCellMar>
        </w:tblPrEx>
        <w:trPr>
          <w:trHeight w:val="675" w:hRule="atLeast"/>
        </w:trPr>
        <w:tc>
          <w:tcPr>
            <w:tcW w:w="1425" w:type="dxa"/>
            <w:tcBorders>
              <w:top w:val="single" w:color="auto" w:sz="4" w:space="0"/>
              <w:left w:val="single" w:color="auto" w:sz="4" w:space="0"/>
              <w:bottom w:val="single" w:color="auto" w:sz="4" w:space="0"/>
              <w:right w:val="single" w:color="auto" w:sz="4" w:space="0"/>
            </w:tcBorders>
            <w:shd w:val="clear" w:color="auto" w:fill="F5F5F5"/>
            <w:vAlign w:val="center"/>
          </w:tcPr>
          <w:p>
            <w:pPr>
              <w:keepNext w:val="0"/>
              <w:keepLines w:val="0"/>
              <w:widowControl/>
              <w:suppressLineNumbers w:val="0"/>
              <w:shd w:val="clear" w:fill="F5F5F5"/>
              <w:spacing w:before="0" w:beforeAutospacing="0" w:after="0" w:afterAutospacing="0"/>
              <w:ind w:left="0" w:right="0"/>
              <w:jc w:val="center"/>
              <w:rPr>
                <w:rFonts w:hint="eastAsia" w:ascii="仿宋" w:hAnsi="仿宋" w:eastAsia="仿宋" w:cs="仿宋"/>
                <w:color w:val="000000"/>
                <w:sz w:val="32"/>
                <w:szCs w:val="32"/>
              </w:rPr>
            </w:pPr>
            <w:r>
              <w:rPr>
                <w:rStyle w:val="5"/>
                <w:rFonts w:hint="eastAsia" w:ascii="仿宋" w:hAnsi="仿宋" w:eastAsia="仿宋" w:cs="仿宋"/>
                <w:i w:val="0"/>
                <w:color w:val="888888"/>
                <w:kern w:val="0"/>
                <w:sz w:val="32"/>
                <w:szCs w:val="32"/>
                <w:lang w:val="en-US" w:eastAsia="zh-CN" w:bidi="ar"/>
              </w:rPr>
              <w:t>备注</w:t>
            </w:r>
          </w:p>
        </w:tc>
        <w:tc>
          <w:tcPr>
            <w:tcW w:w="4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1987版来源地址：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bidi="ar"/>
              </w:rPr>
              <w:t>1987年4月1日国务院发布　根据2016年2月6日《国务院关于修改部分行政法规的决定》修订</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微软雅黑" w:hAnsi="微软雅黑" w:eastAsia="微软雅黑" w:cs="微软雅黑"/>
          <w:i w:val="0"/>
          <w:caps w:val="0"/>
          <w:color w:val="333333"/>
          <w:spacing w:val="0"/>
          <w:kern w:val="0"/>
          <w:sz w:val="19"/>
          <w:szCs w:val="19"/>
          <w:lang w:val="en-US" w:eastAsia="zh-CN" w:bidi="ar"/>
        </w:rPr>
        <w:t>　　</w:t>
      </w:r>
      <w:r>
        <w:rPr>
          <w:rFonts w:hint="eastAsia" w:ascii="仿宋" w:hAnsi="仿宋" w:eastAsia="仿宋" w:cs="仿宋"/>
          <w:i w:val="0"/>
          <w:caps w:val="0"/>
          <w:color w:val="333333"/>
          <w:spacing w:val="0"/>
          <w:kern w:val="0"/>
          <w:sz w:val="32"/>
          <w:szCs w:val="32"/>
          <w:lang w:val="en-US" w:eastAsia="zh-CN" w:bidi="ar"/>
        </w:rPr>
        <w:t>（1987年4月1日国务院发布　根据2016年2月6日《国务院关于修改部分行政法规的决定》修订）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kern w:val="0"/>
          <w:sz w:val="32"/>
          <w:szCs w:val="32"/>
          <w:lang w:val="en-US" w:eastAsia="zh-CN" w:bidi="ar"/>
        </w:rPr>
      </w:pPr>
      <w:r>
        <w:rPr>
          <w:rFonts w:hint="eastAsia" w:ascii="仿宋" w:hAnsi="仿宋" w:eastAsia="仿宋" w:cs="仿宋"/>
          <w:i w:val="0"/>
          <w:caps w:val="0"/>
          <w:color w:val="333333"/>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321" w:firstLineChars="100"/>
        <w:jc w:val="left"/>
        <w:textAlignment w:val="auto"/>
        <w:rPr>
          <w:rFonts w:hint="eastAsia" w:ascii="仿宋" w:hAnsi="仿宋" w:eastAsia="仿宋" w:cs="仿宋"/>
          <w:i w:val="0"/>
          <w:caps w:val="0"/>
          <w:color w:val="333333"/>
          <w:spacing w:val="0"/>
          <w:sz w:val="32"/>
          <w:szCs w:val="32"/>
        </w:rPr>
      </w:pPr>
      <w:bookmarkStart w:id="0" w:name="_GoBack"/>
      <w:bookmarkEnd w:id="0"/>
      <w:r>
        <w:rPr>
          <w:rFonts w:hint="eastAsia" w:ascii="仿宋" w:hAnsi="仿宋" w:eastAsia="仿宋" w:cs="仿宋"/>
          <w:b/>
          <w:bCs/>
          <w:i w:val="0"/>
          <w:caps w:val="0"/>
          <w:color w:val="333333"/>
          <w:spacing w:val="0"/>
          <w:kern w:val="0"/>
          <w:sz w:val="32"/>
          <w:szCs w:val="32"/>
          <w:lang w:val="en-US" w:eastAsia="zh-CN" w:bidi="ar"/>
        </w:rPr>
        <w:t>　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第一条　为创造良好的公共场所卫生条件，预防疾病，保障人体健康，制定本条例。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第二条　本条例适用于下列公共场所：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（一）宾馆、饭馆、旅店、招待所、车马店、咖啡馆、酒吧、茶座；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（二）公共浴室、理发店、美容店；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（三）影剧院、录像厅（室）、游艺厅（室）、舞厅、音乐厅；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（四）体育场（馆）、游泳场（馆）、公园；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（五）展览馆、博物馆、美术馆、图书馆；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（六）商场（店）、书店；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（七）候诊室、候车（机、船）室、公共交通工具。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第三条　公共场所的下列项目应符合国家卫生标准和要求：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（一）空气、微小气候（湿度、温度、风速）；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（二）水质；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（三）采光、照明；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（四）噪音；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（五）顾客用具和卫生设施。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公共场所的卫生标准和要求，由卫生部负责制定。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第四条　国家对公共场所以及新建、改建、扩建的公共场所的选址和设计实行“卫生许可证”制度。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“卫生许可证”由县以上卫生行政部门签发。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b/>
          <w:bCs/>
          <w:i w:val="0"/>
          <w:caps w:val="0"/>
          <w:color w:val="333333"/>
          <w:spacing w:val="0"/>
          <w:kern w:val="0"/>
          <w:sz w:val="32"/>
          <w:szCs w:val="32"/>
          <w:lang w:val="en-US" w:eastAsia="zh-CN" w:bidi="ar"/>
        </w:rPr>
      </w:pPr>
      <w:r>
        <w:rPr>
          <w:rFonts w:hint="eastAsia" w:ascii="仿宋" w:hAnsi="仿宋" w:eastAsia="仿宋" w:cs="仿宋"/>
          <w:b/>
          <w:bCs/>
          <w:i w:val="0"/>
          <w:caps w:val="0"/>
          <w:color w:val="333333"/>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321" w:firstLineChars="100"/>
        <w:jc w:val="left"/>
        <w:textAlignment w:val="auto"/>
        <w:rPr>
          <w:rFonts w:hint="eastAsia" w:ascii="仿宋" w:hAnsi="仿宋" w:eastAsia="仿宋" w:cs="仿宋"/>
          <w:b/>
          <w:bCs/>
          <w:i w:val="0"/>
          <w:caps w:val="0"/>
          <w:color w:val="333333"/>
          <w:spacing w:val="0"/>
          <w:sz w:val="32"/>
          <w:szCs w:val="32"/>
        </w:rPr>
      </w:pPr>
      <w:r>
        <w:rPr>
          <w:rFonts w:hint="eastAsia" w:ascii="仿宋" w:hAnsi="仿宋" w:eastAsia="仿宋" w:cs="仿宋"/>
          <w:b/>
          <w:bCs/>
          <w:i w:val="0"/>
          <w:caps w:val="0"/>
          <w:color w:val="333333"/>
          <w:spacing w:val="0"/>
          <w:kern w:val="0"/>
          <w:sz w:val="32"/>
          <w:szCs w:val="32"/>
          <w:lang w:val="en-US" w:eastAsia="zh-CN" w:bidi="ar"/>
        </w:rPr>
        <w:t>　第二章　卫 生 管 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第五条　公共场所的主管部门应当建立卫生管理制度，配备专职或者兼职卫生管理人员，对所属经营单位（包括个体经营者，下同）的卫生状况进行经常性检查，并提供必要的条件。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第六条　经营单位应当负责所经营的公共场所的卫生管理，建立卫生责任制度，对本单位的从业人员进行卫生知识的培训和考核工作。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第七条　公共场所直接为顾客服务的人员，持有“健康合格证”方能从事本职工作。患有痢疾、伤寒、病毒性肝炎、活动期肺结核、化脓性或者渗出性皮肤病以及其他有碍公共卫生的疾病的，治愈前不得从事直接为顾客服务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第八条　除公园、体育场（馆）、公共交通工具外的公共场所，经营单位应当及时向卫生行政部门申请办理“卫生许可证”。“卫生许可证”两年复核一次。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第九条　公共场所因不符合卫生标准和要求造成危害健康事故的，经营单位应妥善处理，并及时报告卫生防疫机构。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kern w:val="0"/>
          <w:sz w:val="32"/>
          <w:szCs w:val="32"/>
          <w:lang w:val="en-US" w:eastAsia="zh-CN" w:bidi="ar"/>
        </w:rPr>
      </w:pPr>
      <w:r>
        <w:rPr>
          <w:rFonts w:hint="eastAsia" w:ascii="仿宋" w:hAnsi="仿宋" w:eastAsia="仿宋" w:cs="仿宋"/>
          <w:i w:val="0"/>
          <w:caps w:val="0"/>
          <w:color w:val="333333"/>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3"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kern w:val="0"/>
          <w:sz w:val="32"/>
          <w:szCs w:val="32"/>
          <w:lang w:val="en-US" w:eastAsia="zh-CN" w:bidi="ar"/>
        </w:rPr>
        <w:t>第三章　卫 生 监 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第十条　各级卫生防疫机构，负责管辖范围内的公共场所卫生监督工作。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民航、铁路、交通、厂（场）矿卫生防疫机构对管辖范围内的公共场所，施行卫生监督，并接受当地卫生防疫机构的业务指导。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第十一条　卫生防疫机构根据需要设立公共场所卫生监督员，执行卫生防疫机构交给的任务。公共场所卫生监督员由同级人民政府发给证书。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民航、铁路、交通、工矿企业卫生防疫机构的公共场所卫生监督员，由其上级主管部门发给证书。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第十二条　卫生防疫机构对公共场所的卫生监督职责：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（一）对公共场所进行卫生监测和卫生技术指导；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（二）监督从业人员健康检查，指导有关部门对从业人员进行卫生知识的教育和培训；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（三）对新建、扩建、改建的公共场所的选址和设计进行卫生审查，并参加竣工验收。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第十三条　卫生监督员有权对公共场所进行现场检查，索取有关资料，经营单位不得拒绝或隐瞒。卫生监督员对所提供的技术资料有保密的责任。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公共场所卫生监督员在执行任务时，应佩戴证章、出示证件。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b/>
          <w:bCs/>
          <w:i w:val="0"/>
          <w:caps w:val="0"/>
          <w:color w:val="333333"/>
          <w:spacing w:val="0"/>
          <w:kern w:val="0"/>
          <w:sz w:val="32"/>
          <w:szCs w:val="32"/>
          <w:lang w:val="en-US" w:eastAsia="zh-CN" w:bidi="ar"/>
        </w:rPr>
      </w:pPr>
      <w:r>
        <w:rPr>
          <w:rFonts w:hint="eastAsia" w:ascii="仿宋" w:hAnsi="仿宋" w:eastAsia="仿宋" w:cs="仿宋"/>
          <w:b/>
          <w:bCs/>
          <w:i w:val="0"/>
          <w:caps w:val="0"/>
          <w:color w:val="333333"/>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643" w:firstLineChars="20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b/>
          <w:bCs/>
          <w:i w:val="0"/>
          <w:caps w:val="0"/>
          <w:color w:val="333333"/>
          <w:spacing w:val="0"/>
          <w:kern w:val="0"/>
          <w:sz w:val="32"/>
          <w:szCs w:val="32"/>
          <w:lang w:val="en-US" w:eastAsia="zh-CN" w:bidi="ar"/>
        </w:rPr>
        <w:t>第四章　罚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第十四条　凡有下列行为之一的单位或者个人，卫生防疫机构可以根据情节轻重，给予警告、罚款、停业整顿、吊销“卫生许可证”的行政处罚：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（一）卫生质量不符合国家卫生标准和要求，而继续营业的；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（二）未获得“健康合格证”，而从事直接为顾客服务的；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（三）拒绝卫生监督的；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（四）未取得“卫生许可证”，擅自营业的。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罚款一律上交国库。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第十五条　违反本条例的规定造成严重危害公民健康的事故或中毒事故的单位或者个人，应当对受害人赔偿损失。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违反本条例致人残疾或者死亡，构成犯罪的，应由司法机关依法追究直接责任人员的刑事责任。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第十六条　对罚款、停业整顿及吊销“卫生许可证”的行政处罚不服的，在接到处罚通知之日起15天内，可以向当地人民法院起诉。但对公共场所卫生质量控制的决定应立即执行。对处罚的决定不履行又逾期不起诉的，由卫生防疫机构向人民法院申请强制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第十七条　公共场所卫生监督机构和卫生监督员必须尽职尽责，依法办事。对玩忽职守，滥用职权，收取贿赂的，由上级主管部门给予直接责任人员行政处分。构成犯罪的，由司法机关依法追究直接责任人员的刑事责任。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w:t>
      </w:r>
      <w:r>
        <w:rPr>
          <w:rFonts w:hint="eastAsia" w:ascii="仿宋" w:hAnsi="仿宋" w:eastAsia="仿宋" w:cs="仿宋"/>
          <w:b/>
          <w:bCs/>
          <w:i w:val="0"/>
          <w:caps w:val="0"/>
          <w:color w:val="333333"/>
          <w:spacing w:val="0"/>
          <w:kern w:val="0"/>
          <w:sz w:val="32"/>
          <w:szCs w:val="32"/>
          <w:lang w:val="en-US" w:eastAsia="zh-CN" w:bidi="ar"/>
        </w:rPr>
        <w:t>第五章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lang w:val="en-US" w:eastAsia="zh-CN" w:bidi="ar"/>
        </w:rPr>
        <w:t>　　第十八条　本条例的实施细则由卫生部负责制定。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rFonts w:hint="eastAsia" w:ascii="仿宋" w:hAnsi="仿宋" w:eastAsia="仿宋" w:cs="仿宋"/>
          <w:sz w:val="32"/>
          <w:szCs w:val="32"/>
        </w:rPr>
      </w:pPr>
      <w:r>
        <w:rPr>
          <w:rFonts w:hint="eastAsia" w:ascii="仿宋" w:hAnsi="仿宋" w:eastAsia="仿宋" w:cs="仿宋"/>
          <w:i w:val="0"/>
          <w:caps w:val="0"/>
          <w:color w:val="333333"/>
          <w:spacing w:val="0"/>
          <w:kern w:val="0"/>
          <w:sz w:val="32"/>
          <w:szCs w:val="32"/>
          <w:lang w:val="en-US" w:eastAsia="zh-CN" w:bidi="ar"/>
        </w:rPr>
        <w:t>　　第十九条　本条例自发布之日起施行。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7462B4"/>
    <w:rsid w:val="75086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2021-08-27T06:42:00Z</dcterms:created>
  <dc:creator>Administrator</dc:creator>
  <cp:lastModifiedBy>嗯恩</cp:lastModifiedBy>
  <dcterms:modified xsi:type="dcterms:W3CDTF">2021-08-30T07:59:59Z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