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7BF33E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600" w:lineRule="exact"/>
        <w:ind w:left="0" w:leftChars="0" w:firstLine="0" w:firstLineChars="0"/>
        <w:jc w:val="center"/>
        <w:textAlignment w:val="auto"/>
        <w:outlineLvl w:val="0"/>
        <w:rPr>
          <w:rFonts w:hint="default" w:ascii="方正小标宋简体" w:hAnsi="方正小标宋简体" w:eastAsia="方正小标宋简体" w:cs="方正小标宋简体"/>
          <w:b w:val="0"/>
          <w:bCs w:val="0"/>
          <w:color w:val="000000"/>
          <w:sz w:val="36"/>
          <w:szCs w:val="36"/>
          <w:lang w:val="en-US" w:eastAsia="zh-CN"/>
        </w:rPr>
      </w:pPr>
      <w:bookmarkStart w:id="0" w:name="_Toc345068155"/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sz w:val="36"/>
          <w:szCs w:val="36"/>
          <w:lang w:val="en-US" w:eastAsia="zh-CN"/>
        </w:rPr>
        <w:t>《</w:t>
      </w:r>
      <w:bookmarkEnd w:id="0"/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sz w:val="36"/>
          <w:szCs w:val="36"/>
          <w:lang w:val="en-US" w:eastAsia="zh-CN"/>
        </w:rPr>
        <w:t>泽州县B2026-03至08、B2026-10至11号地块实施性详细规划》</w:t>
      </w:r>
    </w:p>
    <w:p w14:paraId="7E97D7D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left"/>
        <w:textAlignment w:val="auto"/>
        <w:outlineLvl w:val="0"/>
        <w:rPr>
          <w:rFonts w:hint="eastAsia" w:ascii="仿宋" w:hAnsi="仿宋" w:eastAsia="仿宋" w:cs="仿宋"/>
          <w:color w:val="000000"/>
          <w:sz w:val="32"/>
          <w:szCs w:val="32"/>
          <w:lang w:val="en-US" w:eastAsia="zh-CN"/>
        </w:rPr>
      </w:pPr>
      <w:r>
        <w:rPr>
          <w:rFonts w:hint="default" w:ascii="仿宋" w:hAnsi="仿宋" w:eastAsia="仿宋" w:cs="仿宋"/>
          <w:color w:val="000000"/>
          <w:sz w:val="32"/>
          <w:szCs w:val="32"/>
          <w:lang w:val="en-US" w:eastAsia="zh-CN"/>
        </w:rPr>
        <w:t>为推进晋钢产业园更新扩建，为项目建设提供规划管理依据，依据《晋城市国土空间总体规划（2021—2035年）》《泽州县国土空间总体规划（2021—2035年）》，</w:t>
      </w:r>
      <w:r>
        <w:rPr>
          <w:rFonts w:hint="eastAsia" w:ascii="仿宋" w:hAnsi="仿宋" w:eastAsia="仿宋" w:cs="仿宋"/>
          <w:color w:val="000000"/>
          <w:sz w:val="32"/>
          <w:szCs w:val="32"/>
          <w:lang w:val="en-US" w:eastAsia="zh-CN"/>
        </w:rPr>
        <w:t>编制完成了《泽州县B2026-03至08、B2026-10至11号地块实施性详细规划》。现将规划主要内容进行公示，本公示内容非最终批复结果，反馈意见将作为规划实施的参考依据。</w:t>
      </w:r>
    </w:p>
    <w:p w14:paraId="77DD23FD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before="157" w:beforeLines="50" w:beforeAutospacing="0" w:after="157" w:afterLines="50" w:afterAutospacing="0" w:line="560" w:lineRule="exact"/>
        <w:ind w:firstLine="640"/>
        <w:textAlignment w:val="auto"/>
        <w:rPr>
          <w:rFonts w:hint="eastAsia" w:ascii="仿宋" w:hAnsi="仿宋" w:eastAsia="仿宋" w:cs="仿宋"/>
          <w:color w:val="00000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color w:val="000000"/>
          <w:sz w:val="32"/>
          <w:szCs w:val="32"/>
          <w:lang w:val="en-US" w:eastAsia="zh-CN"/>
        </w:rPr>
        <w:t>一、规划范围</w:t>
      </w:r>
    </w:p>
    <w:p w14:paraId="6D102CC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left"/>
        <w:textAlignment w:val="auto"/>
        <w:outlineLvl w:val="0"/>
        <w:rPr>
          <w:rFonts w:hint="eastAsia" w:ascii="仿宋" w:hAnsi="仿宋" w:eastAsia="仿宋" w:cs="仿宋"/>
          <w:color w:val="00000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color w:val="000000"/>
          <w:sz w:val="32"/>
          <w:szCs w:val="32"/>
          <w:lang w:val="en-US" w:eastAsia="zh-CN"/>
        </w:rPr>
        <w:t>本次规划共涉及8宗地，总面积38.3203公顷</w:t>
      </w:r>
      <w:bookmarkStart w:id="1" w:name="_GoBack"/>
      <w:bookmarkEnd w:id="1"/>
      <w:r>
        <w:rPr>
          <w:rFonts w:hint="eastAsia" w:ascii="仿宋" w:hAnsi="仿宋" w:eastAsia="仿宋" w:cs="仿宋"/>
          <w:color w:val="000000"/>
          <w:sz w:val="32"/>
          <w:szCs w:val="32"/>
          <w:lang w:val="en-US" w:eastAsia="zh-CN"/>
        </w:rPr>
        <w:t>，位于泽州县巴公镇，涉及西郜村、东郜村、李村村、来村村、西板桥村、北板桥村。其中：</w:t>
      </w:r>
    </w:p>
    <w:p w14:paraId="4E1FC3C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left"/>
        <w:textAlignment w:val="auto"/>
        <w:outlineLvl w:val="0"/>
        <w:rPr>
          <w:rFonts w:hint="eastAsia" w:ascii="仿宋" w:hAnsi="仿宋" w:eastAsia="仿宋" w:cs="仿宋"/>
          <w:color w:val="00000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color w:val="000000"/>
          <w:sz w:val="32"/>
          <w:szCs w:val="32"/>
          <w:lang w:val="en-US" w:eastAsia="zh-CN"/>
        </w:rPr>
        <w:t>B2026-03号地块在城镇开发边界内，规划用地面积为0.9838公顷（约14.757亩），位于晋钢现状厂区北侧，属西郜村、东郜村。</w:t>
      </w:r>
    </w:p>
    <w:p w14:paraId="0BFE4B4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left"/>
        <w:textAlignment w:val="auto"/>
        <w:outlineLvl w:val="0"/>
        <w:rPr>
          <w:rFonts w:hint="eastAsia" w:ascii="仿宋" w:hAnsi="仿宋" w:eastAsia="仿宋" w:cs="仿宋"/>
          <w:color w:val="00000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color w:val="000000"/>
          <w:sz w:val="32"/>
          <w:szCs w:val="32"/>
          <w:lang w:val="en-US" w:eastAsia="zh-CN"/>
        </w:rPr>
        <w:t>B2026-04号地块在城镇开发边界内，规划用地面积为3.0467公顷（约45.7005亩），位于晋钢现状厂区北侧，属西郜村、东郜村。</w:t>
      </w:r>
    </w:p>
    <w:p w14:paraId="1622794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left"/>
        <w:textAlignment w:val="auto"/>
        <w:outlineLvl w:val="0"/>
        <w:rPr>
          <w:rFonts w:hint="eastAsia" w:ascii="仿宋" w:hAnsi="仿宋" w:eastAsia="仿宋" w:cs="仿宋"/>
          <w:color w:val="00000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color w:val="000000"/>
          <w:sz w:val="32"/>
          <w:szCs w:val="32"/>
          <w:lang w:val="en-US" w:eastAsia="zh-CN"/>
        </w:rPr>
        <w:t>B2026-05号地块在城镇开发边界内，规划用地面积为3.1805公顷（约47.7075亩），位于晋钢现状厂区北侧，属西郜村。</w:t>
      </w:r>
    </w:p>
    <w:p w14:paraId="6FFAB6F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left"/>
        <w:textAlignment w:val="auto"/>
        <w:outlineLvl w:val="0"/>
        <w:rPr>
          <w:rFonts w:hint="eastAsia" w:ascii="仿宋" w:hAnsi="仿宋" w:eastAsia="仿宋" w:cs="仿宋"/>
          <w:color w:val="00000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color w:val="000000"/>
          <w:sz w:val="32"/>
          <w:szCs w:val="32"/>
          <w:lang w:val="en-US" w:eastAsia="zh-CN"/>
        </w:rPr>
        <w:t>B2026-06号地块在城镇开发边界内，规划用地面积为1.4925公顷（约22.3875亩），位于晋高一级路东侧、晋钢现状厂区西侧，属来村村、西郜村。</w:t>
      </w:r>
    </w:p>
    <w:p w14:paraId="6E544AD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left"/>
        <w:textAlignment w:val="auto"/>
        <w:outlineLvl w:val="0"/>
        <w:rPr>
          <w:rFonts w:hint="eastAsia" w:ascii="仿宋" w:hAnsi="仿宋" w:eastAsia="仿宋" w:cs="仿宋"/>
          <w:color w:val="00000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color w:val="000000"/>
          <w:sz w:val="32"/>
          <w:szCs w:val="32"/>
          <w:lang w:val="en-US" w:eastAsia="zh-CN"/>
        </w:rPr>
        <w:t>B2026-07号地块在城镇开发边界内，规划用地面积为4.0302公顷（约60.453亩），位于晋高一级路东侧、晋钢现状厂区西侧，属西郜村。</w:t>
      </w:r>
    </w:p>
    <w:p w14:paraId="68C4B43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left"/>
        <w:textAlignment w:val="auto"/>
        <w:outlineLvl w:val="0"/>
        <w:rPr>
          <w:rFonts w:hint="eastAsia" w:ascii="仿宋" w:hAnsi="仿宋" w:eastAsia="仿宋" w:cs="仿宋"/>
          <w:color w:val="00000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color w:val="000000"/>
          <w:sz w:val="32"/>
          <w:szCs w:val="32"/>
          <w:lang w:val="en-US" w:eastAsia="zh-CN"/>
        </w:rPr>
        <w:t>B2026-08号地块在城镇开发边界内，规划用地面积为2.3809公顷（约35.7135亩），位于晋高一级路东侧、晋钢现状厂区西侧，属西郜村。</w:t>
      </w:r>
    </w:p>
    <w:p w14:paraId="63CD96D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left"/>
        <w:textAlignment w:val="auto"/>
        <w:outlineLvl w:val="0"/>
        <w:rPr>
          <w:rFonts w:hint="eastAsia" w:ascii="仿宋" w:hAnsi="仿宋" w:eastAsia="仿宋" w:cs="仿宋"/>
          <w:color w:val="00000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color w:val="000000"/>
          <w:sz w:val="32"/>
          <w:szCs w:val="32"/>
          <w:lang w:val="en-US" w:eastAsia="zh-CN"/>
        </w:rPr>
        <w:t>B2026-10号地块在城镇开发边界内，规划用地面积为22.1517公顷（约332.2755亩），位于晋钢大道南侧，属李村村。</w:t>
      </w:r>
    </w:p>
    <w:p w14:paraId="32CDFB9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left"/>
        <w:textAlignment w:val="auto"/>
        <w:outlineLvl w:val="0"/>
        <w:rPr>
          <w:rFonts w:hint="default" w:ascii="仿宋" w:hAnsi="仿宋" w:eastAsia="仿宋" w:cs="仿宋"/>
          <w:color w:val="00000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color w:val="000000"/>
          <w:sz w:val="32"/>
          <w:szCs w:val="32"/>
          <w:lang w:val="en-US" w:eastAsia="zh-CN"/>
        </w:rPr>
        <w:t>B2026-11号地块在城镇开发边界内，规划用地面积为1.0540公顷（约15.81亩），位于太焦铁路线西侧，属西板桥村、北板桥村</w:t>
      </w:r>
      <w:r>
        <w:rPr>
          <w:rFonts w:hint="default" w:ascii="仿宋" w:hAnsi="仿宋" w:eastAsia="仿宋" w:cs="仿宋"/>
          <w:color w:val="000000"/>
          <w:sz w:val="32"/>
          <w:szCs w:val="32"/>
          <w:lang w:val="en-US" w:eastAsia="zh-CN"/>
        </w:rPr>
        <w:t>。</w:t>
      </w:r>
    </w:p>
    <w:p w14:paraId="312395CC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before="157" w:beforeLines="50" w:beforeAutospacing="0" w:after="157" w:afterLines="50" w:afterAutospacing="0" w:line="560" w:lineRule="exact"/>
        <w:ind w:firstLine="640"/>
        <w:textAlignment w:val="auto"/>
        <w:rPr>
          <w:rFonts w:hint="eastAsia" w:ascii="仿宋" w:hAnsi="仿宋" w:eastAsia="仿宋" w:cs="仿宋"/>
          <w:color w:val="00000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color w:val="000000"/>
          <w:sz w:val="32"/>
          <w:szCs w:val="32"/>
          <w:lang w:val="en-US" w:eastAsia="zh-CN"/>
        </w:rPr>
        <w:t>二、地块管控</w:t>
      </w:r>
    </w:p>
    <w:p w14:paraId="5EDED0C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left"/>
        <w:textAlignment w:val="auto"/>
        <w:outlineLvl w:val="0"/>
        <w:rPr>
          <w:rFonts w:hint="eastAsia" w:ascii="仿宋" w:hAnsi="仿宋" w:eastAsia="仿宋" w:cs="仿宋"/>
          <w:color w:val="00000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color w:val="000000"/>
          <w:sz w:val="32"/>
          <w:szCs w:val="32"/>
          <w:lang w:val="en-US" w:eastAsia="zh-CN"/>
        </w:rPr>
        <w:t>根据《国土空间调查、规划、用途管制用地用海分类指南》(自然资发〔2023〕234号)，拟规划的8宗地用地性质均为二类工业用地（代码为100102）。</w:t>
      </w:r>
    </w:p>
    <w:p w14:paraId="5FACAE7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left"/>
        <w:textAlignment w:val="auto"/>
        <w:outlineLvl w:val="0"/>
        <w:rPr>
          <w:rFonts w:hint="eastAsia" w:ascii="仿宋" w:hAnsi="仿宋" w:eastAsia="仿宋" w:cs="仿宋"/>
          <w:color w:val="00000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color w:val="000000"/>
          <w:sz w:val="32"/>
          <w:szCs w:val="32"/>
          <w:lang w:val="en-US" w:eastAsia="zh-CN"/>
        </w:rPr>
        <w:t>参照《晋城市城乡规划管理技术规定》以及本地同类项目用地建设情况，结合地块周边建设现状及管控要求，依据相关规范，综合确定地块建议指标，详见地块建议指标一览表。</w:t>
      </w:r>
    </w:p>
    <w:p w14:paraId="3A62041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before="157" w:beforeLines="50" w:after="157" w:afterLines="50" w:line="460" w:lineRule="exact"/>
        <w:ind w:firstLine="2560" w:firstLineChars="800"/>
        <w:jc w:val="both"/>
        <w:textAlignment w:val="auto"/>
        <w:rPr>
          <w:rFonts w:hint="eastAsia" w:ascii="仿宋" w:hAnsi="仿宋" w:eastAsia="仿宋" w:cs="仿宋"/>
          <w:color w:val="000000"/>
          <w:lang w:val="en-US" w:eastAsia="zh-CN"/>
        </w:rPr>
      </w:pPr>
    </w:p>
    <w:p w14:paraId="14FFEB9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before="157" w:beforeLines="50" w:after="157" w:afterLines="50" w:line="460" w:lineRule="exact"/>
        <w:ind w:firstLine="2560" w:firstLineChars="800"/>
        <w:jc w:val="both"/>
        <w:textAlignment w:val="auto"/>
        <w:rPr>
          <w:rFonts w:hint="eastAsia" w:ascii="仿宋" w:hAnsi="仿宋" w:eastAsia="仿宋" w:cs="仿宋"/>
          <w:color w:val="000000"/>
          <w:lang w:val="en-US" w:eastAsia="zh-CN"/>
        </w:rPr>
      </w:pPr>
    </w:p>
    <w:p w14:paraId="5B33151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before="157" w:beforeLines="50" w:after="157" w:afterLines="50" w:line="460" w:lineRule="exact"/>
        <w:ind w:firstLine="2560" w:firstLineChars="800"/>
        <w:jc w:val="both"/>
        <w:textAlignment w:val="auto"/>
        <w:rPr>
          <w:rFonts w:hint="eastAsia" w:ascii="仿宋" w:hAnsi="仿宋" w:eastAsia="仿宋" w:cs="仿宋"/>
          <w:color w:val="000000"/>
          <w:lang w:val="en-US" w:eastAsia="zh-CN"/>
        </w:rPr>
      </w:pPr>
    </w:p>
    <w:p w14:paraId="5478BD1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before="157" w:beforeLines="50" w:after="157" w:afterLines="50" w:line="460" w:lineRule="exact"/>
        <w:ind w:firstLine="2560" w:firstLineChars="800"/>
        <w:jc w:val="both"/>
        <w:textAlignment w:val="auto"/>
        <w:rPr>
          <w:rFonts w:hint="eastAsia" w:ascii="仿宋" w:hAnsi="仿宋" w:eastAsia="仿宋" w:cs="仿宋"/>
          <w:color w:val="000000"/>
          <w:lang w:val="en-US" w:eastAsia="zh-CN"/>
        </w:rPr>
      </w:pPr>
      <w:r>
        <w:rPr>
          <w:rFonts w:hint="eastAsia" w:ascii="仿宋" w:hAnsi="仿宋" w:eastAsia="仿宋" w:cs="仿宋"/>
          <w:color w:val="000000"/>
          <w:lang w:val="en-US" w:eastAsia="zh-CN"/>
        </w:rPr>
        <w:t>地块建议指标一览表</w:t>
      </w:r>
    </w:p>
    <w:tbl>
      <w:tblPr>
        <w:tblStyle w:val="7"/>
        <w:tblW w:w="4997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17"/>
        <w:gridCol w:w="1568"/>
        <w:gridCol w:w="1538"/>
        <w:gridCol w:w="976"/>
        <w:gridCol w:w="1119"/>
        <w:gridCol w:w="1114"/>
        <w:gridCol w:w="882"/>
      </w:tblGrid>
      <w:tr w14:paraId="1566AE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4" w:hRule="atLeast"/>
          <w:tblHeader/>
          <w:jc w:val="center"/>
        </w:trPr>
        <w:tc>
          <w:tcPr>
            <w:tcW w:w="774" w:type="pct"/>
            <w:vAlign w:val="center"/>
          </w:tcPr>
          <w:p w14:paraId="3A4665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地块编号</w:t>
            </w:r>
          </w:p>
        </w:tc>
        <w:tc>
          <w:tcPr>
            <w:tcW w:w="921" w:type="pct"/>
            <w:vAlign w:val="center"/>
          </w:tcPr>
          <w:p w14:paraId="1CDCE9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总用地面积</w:t>
            </w:r>
          </w:p>
          <w:p w14:paraId="2768015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（公顷）</w:t>
            </w:r>
          </w:p>
        </w:tc>
        <w:tc>
          <w:tcPr>
            <w:tcW w:w="903" w:type="pct"/>
            <w:vAlign w:val="center"/>
          </w:tcPr>
          <w:p w14:paraId="329BB0C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用地性质</w:t>
            </w:r>
          </w:p>
        </w:tc>
        <w:tc>
          <w:tcPr>
            <w:tcW w:w="573" w:type="pct"/>
            <w:vAlign w:val="center"/>
          </w:tcPr>
          <w:p w14:paraId="7031CFC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容积率</w:t>
            </w:r>
          </w:p>
        </w:tc>
        <w:tc>
          <w:tcPr>
            <w:tcW w:w="657" w:type="pct"/>
            <w:vAlign w:val="center"/>
          </w:tcPr>
          <w:p w14:paraId="077851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建筑密度</w:t>
            </w:r>
          </w:p>
          <w:p w14:paraId="7FB471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（%）</w:t>
            </w:r>
          </w:p>
        </w:tc>
        <w:tc>
          <w:tcPr>
            <w:tcW w:w="654" w:type="pct"/>
            <w:vAlign w:val="center"/>
          </w:tcPr>
          <w:p w14:paraId="270549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建筑限高</w:t>
            </w:r>
          </w:p>
          <w:p w14:paraId="4D175B1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（m）</w:t>
            </w:r>
          </w:p>
        </w:tc>
        <w:tc>
          <w:tcPr>
            <w:tcW w:w="516" w:type="pct"/>
            <w:vAlign w:val="center"/>
          </w:tcPr>
          <w:p w14:paraId="4AC3143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绿地率</w:t>
            </w:r>
          </w:p>
          <w:p w14:paraId="108539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（%）</w:t>
            </w:r>
          </w:p>
        </w:tc>
      </w:tr>
      <w:tr w14:paraId="733CE3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4" w:hRule="atLeast"/>
          <w:jc w:val="center"/>
        </w:trPr>
        <w:tc>
          <w:tcPr>
            <w:tcW w:w="1319" w:type="dxa"/>
            <w:shd w:val="clear" w:color="auto" w:fill="auto"/>
            <w:vAlign w:val="center"/>
          </w:tcPr>
          <w:p w14:paraId="251F824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B2026-03</w:t>
            </w:r>
          </w:p>
        </w:tc>
        <w:tc>
          <w:tcPr>
            <w:tcW w:w="1569" w:type="dxa"/>
            <w:shd w:val="clear" w:color="auto" w:fill="auto"/>
            <w:vAlign w:val="center"/>
          </w:tcPr>
          <w:p w14:paraId="3F76BD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0.9838</w:t>
            </w:r>
          </w:p>
        </w:tc>
        <w:tc>
          <w:tcPr>
            <w:tcW w:w="903" w:type="pct"/>
            <w:shd w:val="clear" w:color="auto" w:fill="auto"/>
            <w:vAlign w:val="center"/>
          </w:tcPr>
          <w:p w14:paraId="200EFA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二类工业用地</w:t>
            </w:r>
          </w:p>
        </w:tc>
        <w:tc>
          <w:tcPr>
            <w:tcW w:w="573" w:type="pct"/>
            <w:shd w:val="clear" w:color="auto" w:fill="auto"/>
            <w:vAlign w:val="center"/>
          </w:tcPr>
          <w:p w14:paraId="68FB03A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vertAlign w:val="baseline"/>
                <w:lang w:val="en-US" w:eastAsia="zh-CN" w:bidi="ar-SA"/>
              </w:rPr>
              <w:t>≥</w:t>
            </w: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vertAlign w:val="baseline"/>
                <w:lang w:val="en-US" w:eastAsia="zh-CN" w:bidi="ar-SA"/>
              </w:rPr>
              <w:t>0.6</w:t>
            </w:r>
          </w:p>
        </w:tc>
        <w:tc>
          <w:tcPr>
            <w:tcW w:w="657" w:type="pct"/>
            <w:shd w:val="clear" w:color="auto" w:fill="auto"/>
            <w:vAlign w:val="center"/>
          </w:tcPr>
          <w:p w14:paraId="79582A3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vertAlign w:val="baseline"/>
                <w:lang w:val="en-US" w:eastAsia="zh-CN" w:bidi="ar-SA"/>
              </w:rPr>
              <w:t>≥</w:t>
            </w: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30</w:t>
            </w:r>
          </w:p>
        </w:tc>
        <w:tc>
          <w:tcPr>
            <w:tcW w:w="654" w:type="pct"/>
            <w:shd w:val="clear" w:color="auto" w:fill="auto"/>
            <w:vAlign w:val="center"/>
          </w:tcPr>
          <w:p w14:paraId="7702E9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≤60</w:t>
            </w:r>
          </w:p>
        </w:tc>
        <w:tc>
          <w:tcPr>
            <w:tcW w:w="516" w:type="pct"/>
            <w:shd w:val="clear" w:color="auto" w:fill="auto"/>
            <w:vAlign w:val="center"/>
          </w:tcPr>
          <w:p w14:paraId="1A2781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≤</w:t>
            </w: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vertAlign w:val="baseline"/>
                <w:lang w:val="en-US" w:eastAsia="zh-CN" w:bidi="ar-SA"/>
              </w:rPr>
              <w:t>20</w:t>
            </w:r>
          </w:p>
        </w:tc>
      </w:tr>
      <w:tr w14:paraId="66C427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4" w:hRule="atLeast"/>
          <w:jc w:val="center"/>
        </w:trPr>
        <w:tc>
          <w:tcPr>
            <w:tcW w:w="1319" w:type="dxa"/>
            <w:vAlign w:val="center"/>
          </w:tcPr>
          <w:p w14:paraId="4E1ED44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B2026-04</w:t>
            </w:r>
          </w:p>
        </w:tc>
        <w:tc>
          <w:tcPr>
            <w:tcW w:w="1569" w:type="dxa"/>
            <w:vAlign w:val="center"/>
          </w:tcPr>
          <w:p w14:paraId="0CA8F6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3.0467</w:t>
            </w:r>
          </w:p>
        </w:tc>
        <w:tc>
          <w:tcPr>
            <w:tcW w:w="903" w:type="pct"/>
            <w:vAlign w:val="center"/>
          </w:tcPr>
          <w:p w14:paraId="366D77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二类工业用地</w:t>
            </w:r>
          </w:p>
        </w:tc>
        <w:tc>
          <w:tcPr>
            <w:tcW w:w="573" w:type="pct"/>
            <w:vAlign w:val="center"/>
          </w:tcPr>
          <w:p w14:paraId="55E26C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default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vertAlign w:val="baseline"/>
                <w:lang w:val="en-US" w:eastAsia="zh-CN" w:bidi="ar-SA"/>
              </w:rPr>
              <w:t>≥</w:t>
            </w: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vertAlign w:val="baseline"/>
                <w:lang w:val="en-US" w:eastAsia="zh-CN" w:bidi="ar-SA"/>
              </w:rPr>
              <w:t>0.6</w:t>
            </w:r>
          </w:p>
        </w:tc>
        <w:tc>
          <w:tcPr>
            <w:tcW w:w="657" w:type="pct"/>
            <w:vAlign w:val="center"/>
          </w:tcPr>
          <w:p w14:paraId="0F88BD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default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vertAlign w:val="baseline"/>
                <w:lang w:val="en-US" w:eastAsia="zh-CN" w:bidi="ar-SA"/>
              </w:rPr>
              <w:t>≥</w:t>
            </w: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30</w:t>
            </w:r>
          </w:p>
        </w:tc>
        <w:tc>
          <w:tcPr>
            <w:tcW w:w="654" w:type="pct"/>
            <w:vAlign w:val="center"/>
          </w:tcPr>
          <w:p w14:paraId="6A4414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≤60</w:t>
            </w:r>
          </w:p>
        </w:tc>
        <w:tc>
          <w:tcPr>
            <w:tcW w:w="516" w:type="pct"/>
            <w:vAlign w:val="center"/>
          </w:tcPr>
          <w:p w14:paraId="271791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≤</w:t>
            </w: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vertAlign w:val="baseline"/>
                <w:lang w:val="en-US" w:eastAsia="zh-CN" w:bidi="ar-SA"/>
              </w:rPr>
              <w:t>20</w:t>
            </w:r>
          </w:p>
        </w:tc>
      </w:tr>
      <w:tr w14:paraId="60A0B4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4" w:hRule="atLeast"/>
          <w:jc w:val="center"/>
        </w:trPr>
        <w:tc>
          <w:tcPr>
            <w:tcW w:w="1319" w:type="dxa"/>
            <w:vAlign w:val="center"/>
          </w:tcPr>
          <w:p w14:paraId="620698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B2026-05</w:t>
            </w:r>
          </w:p>
        </w:tc>
        <w:tc>
          <w:tcPr>
            <w:tcW w:w="1569" w:type="dxa"/>
            <w:vAlign w:val="center"/>
          </w:tcPr>
          <w:p w14:paraId="7A9011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3.1805</w:t>
            </w:r>
          </w:p>
        </w:tc>
        <w:tc>
          <w:tcPr>
            <w:tcW w:w="903" w:type="pct"/>
            <w:shd w:val="clear" w:color="auto" w:fill="auto"/>
            <w:vAlign w:val="center"/>
          </w:tcPr>
          <w:p w14:paraId="328CF0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二类工业用地</w:t>
            </w:r>
          </w:p>
        </w:tc>
        <w:tc>
          <w:tcPr>
            <w:tcW w:w="573" w:type="pct"/>
            <w:shd w:val="clear" w:color="auto" w:fill="auto"/>
            <w:vAlign w:val="center"/>
          </w:tcPr>
          <w:p w14:paraId="03FC38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vertAlign w:val="baseline"/>
                <w:lang w:val="en-US" w:eastAsia="zh-CN" w:bidi="ar-SA"/>
              </w:rPr>
              <w:t>≥</w:t>
            </w: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vertAlign w:val="baseline"/>
                <w:lang w:val="en-US" w:eastAsia="zh-CN" w:bidi="ar-SA"/>
              </w:rPr>
              <w:t>0.6</w:t>
            </w:r>
          </w:p>
        </w:tc>
        <w:tc>
          <w:tcPr>
            <w:tcW w:w="657" w:type="pct"/>
            <w:shd w:val="clear" w:color="auto" w:fill="auto"/>
            <w:vAlign w:val="center"/>
          </w:tcPr>
          <w:p w14:paraId="7B9972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vertAlign w:val="baseline"/>
                <w:lang w:val="en-US" w:eastAsia="zh-CN" w:bidi="ar-SA"/>
              </w:rPr>
              <w:t>≥</w:t>
            </w: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30</w:t>
            </w:r>
          </w:p>
        </w:tc>
        <w:tc>
          <w:tcPr>
            <w:tcW w:w="654" w:type="pct"/>
            <w:shd w:val="clear" w:color="auto" w:fill="auto"/>
            <w:vAlign w:val="center"/>
          </w:tcPr>
          <w:p w14:paraId="3CD33EE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≤60</w:t>
            </w:r>
          </w:p>
        </w:tc>
        <w:tc>
          <w:tcPr>
            <w:tcW w:w="516" w:type="pct"/>
            <w:shd w:val="clear" w:color="auto" w:fill="auto"/>
            <w:vAlign w:val="center"/>
          </w:tcPr>
          <w:p w14:paraId="4515C0B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≤</w:t>
            </w: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vertAlign w:val="baseline"/>
                <w:lang w:val="en-US" w:eastAsia="zh-CN" w:bidi="ar-SA"/>
              </w:rPr>
              <w:t>20</w:t>
            </w:r>
          </w:p>
        </w:tc>
      </w:tr>
      <w:tr w14:paraId="73A4F4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4" w:hRule="atLeast"/>
          <w:jc w:val="center"/>
        </w:trPr>
        <w:tc>
          <w:tcPr>
            <w:tcW w:w="1319" w:type="dxa"/>
            <w:vAlign w:val="center"/>
          </w:tcPr>
          <w:p w14:paraId="3CB2DA5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B2026-06</w:t>
            </w:r>
          </w:p>
        </w:tc>
        <w:tc>
          <w:tcPr>
            <w:tcW w:w="1569" w:type="dxa"/>
            <w:vAlign w:val="center"/>
          </w:tcPr>
          <w:p w14:paraId="2F0FA38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1.4925</w:t>
            </w:r>
          </w:p>
        </w:tc>
        <w:tc>
          <w:tcPr>
            <w:tcW w:w="903" w:type="pct"/>
            <w:shd w:val="clear" w:color="auto" w:fill="auto"/>
            <w:vAlign w:val="center"/>
          </w:tcPr>
          <w:p w14:paraId="34160DF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二类工业用地</w:t>
            </w:r>
          </w:p>
        </w:tc>
        <w:tc>
          <w:tcPr>
            <w:tcW w:w="573" w:type="pct"/>
            <w:shd w:val="clear" w:color="auto" w:fill="auto"/>
            <w:vAlign w:val="center"/>
          </w:tcPr>
          <w:p w14:paraId="759E894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vertAlign w:val="baseline"/>
                <w:lang w:val="en-US" w:eastAsia="zh-CN" w:bidi="ar-SA"/>
              </w:rPr>
              <w:t>≥</w:t>
            </w: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vertAlign w:val="baseline"/>
                <w:lang w:val="en-US" w:eastAsia="zh-CN" w:bidi="ar-SA"/>
              </w:rPr>
              <w:t>0.6</w:t>
            </w:r>
          </w:p>
        </w:tc>
        <w:tc>
          <w:tcPr>
            <w:tcW w:w="657" w:type="pct"/>
            <w:shd w:val="clear" w:color="auto" w:fill="auto"/>
            <w:vAlign w:val="center"/>
          </w:tcPr>
          <w:p w14:paraId="70BFB8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vertAlign w:val="baseline"/>
                <w:lang w:val="en-US" w:eastAsia="zh-CN" w:bidi="ar-SA"/>
              </w:rPr>
              <w:t>≥</w:t>
            </w: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30</w:t>
            </w:r>
          </w:p>
        </w:tc>
        <w:tc>
          <w:tcPr>
            <w:tcW w:w="654" w:type="pct"/>
            <w:shd w:val="clear" w:color="auto" w:fill="auto"/>
            <w:vAlign w:val="center"/>
          </w:tcPr>
          <w:p w14:paraId="027F20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≤60</w:t>
            </w:r>
          </w:p>
        </w:tc>
        <w:tc>
          <w:tcPr>
            <w:tcW w:w="516" w:type="pct"/>
            <w:shd w:val="clear" w:color="auto" w:fill="auto"/>
            <w:vAlign w:val="center"/>
          </w:tcPr>
          <w:p w14:paraId="24149D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≤</w:t>
            </w: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vertAlign w:val="baseline"/>
                <w:lang w:val="en-US" w:eastAsia="zh-CN" w:bidi="ar-SA"/>
              </w:rPr>
              <w:t>20</w:t>
            </w:r>
          </w:p>
        </w:tc>
      </w:tr>
      <w:tr w14:paraId="6254C7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4" w:hRule="atLeast"/>
          <w:jc w:val="center"/>
        </w:trPr>
        <w:tc>
          <w:tcPr>
            <w:tcW w:w="1319" w:type="dxa"/>
            <w:vAlign w:val="center"/>
          </w:tcPr>
          <w:p w14:paraId="015175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B2026-07</w:t>
            </w:r>
          </w:p>
        </w:tc>
        <w:tc>
          <w:tcPr>
            <w:tcW w:w="1569" w:type="dxa"/>
            <w:vAlign w:val="center"/>
          </w:tcPr>
          <w:p w14:paraId="06E853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4.0302</w:t>
            </w:r>
          </w:p>
        </w:tc>
        <w:tc>
          <w:tcPr>
            <w:tcW w:w="903" w:type="pct"/>
            <w:shd w:val="clear" w:color="auto" w:fill="auto"/>
            <w:vAlign w:val="center"/>
          </w:tcPr>
          <w:p w14:paraId="0ECF4AE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二类工业用地</w:t>
            </w:r>
          </w:p>
        </w:tc>
        <w:tc>
          <w:tcPr>
            <w:tcW w:w="573" w:type="pct"/>
            <w:shd w:val="clear" w:color="auto" w:fill="auto"/>
            <w:vAlign w:val="center"/>
          </w:tcPr>
          <w:p w14:paraId="21C2AB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vertAlign w:val="baseline"/>
                <w:lang w:val="en-US" w:eastAsia="zh-CN" w:bidi="ar-SA"/>
              </w:rPr>
              <w:t>≥</w:t>
            </w: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vertAlign w:val="baseline"/>
                <w:lang w:val="en-US" w:eastAsia="zh-CN" w:bidi="ar-SA"/>
              </w:rPr>
              <w:t>0.6</w:t>
            </w:r>
          </w:p>
        </w:tc>
        <w:tc>
          <w:tcPr>
            <w:tcW w:w="657" w:type="pct"/>
            <w:shd w:val="clear" w:color="auto" w:fill="auto"/>
            <w:vAlign w:val="center"/>
          </w:tcPr>
          <w:p w14:paraId="2667CE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vertAlign w:val="baseline"/>
                <w:lang w:val="en-US" w:eastAsia="zh-CN" w:bidi="ar-SA"/>
              </w:rPr>
              <w:t>≥</w:t>
            </w: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30</w:t>
            </w:r>
          </w:p>
        </w:tc>
        <w:tc>
          <w:tcPr>
            <w:tcW w:w="654" w:type="pct"/>
            <w:shd w:val="clear" w:color="auto" w:fill="auto"/>
            <w:vAlign w:val="center"/>
          </w:tcPr>
          <w:p w14:paraId="677E43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≤60</w:t>
            </w:r>
          </w:p>
        </w:tc>
        <w:tc>
          <w:tcPr>
            <w:tcW w:w="516" w:type="pct"/>
            <w:shd w:val="clear" w:color="auto" w:fill="auto"/>
            <w:vAlign w:val="center"/>
          </w:tcPr>
          <w:p w14:paraId="1A4BD12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≤</w:t>
            </w: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vertAlign w:val="baseline"/>
                <w:lang w:val="en-US" w:eastAsia="zh-CN" w:bidi="ar-SA"/>
              </w:rPr>
              <w:t>20</w:t>
            </w:r>
          </w:p>
        </w:tc>
      </w:tr>
      <w:tr w14:paraId="38A04A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4" w:hRule="atLeast"/>
          <w:jc w:val="center"/>
        </w:trPr>
        <w:tc>
          <w:tcPr>
            <w:tcW w:w="1319" w:type="dxa"/>
            <w:vAlign w:val="center"/>
          </w:tcPr>
          <w:p w14:paraId="5E5118E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B2026-08</w:t>
            </w:r>
          </w:p>
        </w:tc>
        <w:tc>
          <w:tcPr>
            <w:tcW w:w="1569" w:type="dxa"/>
            <w:vAlign w:val="center"/>
          </w:tcPr>
          <w:p w14:paraId="39240A7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2.3809</w:t>
            </w:r>
          </w:p>
        </w:tc>
        <w:tc>
          <w:tcPr>
            <w:tcW w:w="903" w:type="pct"/>
            <w:shd w:val="clear" w:color="auto" w:fill="auto"/>
            <w:vAlign w:val="center"/>
          </w:tcPr>
          <w:p w14:paraId="788AAE9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二类工业用地</w:t>
            </w:r>
          </w:p>
        </w:tc>
        <w:tc>
          <w:tcPr>
            <w:tcW w:w="573" w:type="pct"/>
            <w:shd w:val="clear" w:color="auto" w:fill="auto"/>
            <w:vAlign w:val="center"/>
          </w:tcPr>
          <w:p w14:paraId="4611641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vertAlign w:val="baseline"/>
                <w:lang w:val="en-US" w:eastAsia="zh-CN" w:bidi="ar-SA"/>
              </w:rPr>
              <w:t>≥</w:t>
            </w: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vertAlign w:val="baseline"/>
                <w:lang w:val="en-US" w:eastAsia="zh-CN" w:bidi="ar-SA"/>
              </w:rPr>
              <w:t>0.6</w:t>
            </w:r>
          </w:p>
        </w:tc>
        <w:tc>
          <w:tcPr>
            <w:tcW w:w="657" w:type="pct"/>
            <w:shd w:val="clear" w:color="auto" w:fill="auto"/>
            <w:vAlign w:val="center"/>
          </w:tcPr>
          <w:p w14:paraId="42D0942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vertAlign w:val="baseline"/>
                <w:lang w:val="en-US" w:eastAsia="zh-CN" w:bidi="ar-SA"/>
              </w:rPr>
              <w:t>≥</w:t>
            </w: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30</w:t>
            </w:r>
          </w:p>
        </w:tc>
        <w:tc>
          <w:tcPr>
            <w:tcW w:w="654" w:type="pct"/>
            <w:shd w:val="clear" w:color="auto" w:fill="auto"/>
            <w:vAlign w:val="center"/>
          </w:tcPr>
          <w:p w14:paraId="1BC9B32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≤60</w:t>
            </w:r>
          </w:p>
        </w:tc>
        <w:tc>
          <w:tcPr>
            <w:tcW w:w="516" w:type="pct"/>
            <w:shd w:val="clear" w:color="auto" w:fill="auto"/>
            <w:vAlign w:val="center"/>
          </w:tcPr>
          <w:p w14:paraId="5933EF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≤</w:t>
            </w: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vertAlign w:val="baseline"/>
                <w:lang w:val="en-US" w:eastAsia="zh-CN" w:bidi="ar-SA"/>
              </w:rPr>
              <w:t>20</w:t>
            </w:r>
          </w:p>
        </w:tc>
      </w:tr>
      <w:tr w14:paraId="710BB4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4" w:hRule="atLeast"/>
          <w:jc w:val="center"/>
        </w:trPr>
        <w:tc>
          <w:tcPr>
            <w:tcW w:w="1319" w:type="dxa"/>
            <w:vAlign w:val="center"/>
          </w:tcPr>
          <w:p w14:paraId="27FB67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B2026-10</w:t>
            </w:r>
          </w:p>
        </w:tc>
        <w:tc>
          <w:tcPr>
            <w:tcW w:w="1569" w:type="dxa"/>
            <w:vAlign w:val="center"/>
          </w:tcPr>
          <w:p w14:paraId="44B40F4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22.1517</w:t>
            </w:r>
          </w:p>
        </w:tc>
        <w:tc>
          <w:tcPr>
            <w:tcW w:w="903" w:type="pct"/>
            <w:shd w:val="clear" w:color="auto" w:fill="auto"/>
            <w:vAlign w:val="center"/>
          </w:tcPr>
          <w:p w14:paraId="3CFFB7A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二类工业用地</w:t>
            </w:r>
          </w:p>
        </w:tc>
        <w:tc>
          <w:tcPr>
            <w:tcW w:w="573" w:type="pct"/>
            <w:shd w:val="clear" w:color="auto" w:fill="auto"/>
            <w:vAlign w:val="center"/>
          </w:tcPr>
          <w:p w14:paraId="7170426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vertAlign w:val="baseline"/>
                <w:lang w:val="en-US" w:eastAsia="zh-CN" w:bidi="ar-SA"/>
              </w:rPr>
              <w:t>≥</w:t>
            </w: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vertAlign w:val="baseline"/>
                <w:lang w:val="en-US" w:eastAsia="zh-CN" w:bidi="ar-SA"/>
              </w:rPr>
              <w:t>0.6</w:t>
            </w:r>
          </w:p>
        </w:tc>
        <w:tc>
          <w:tcPr>
            <w:tcW w:w="657" w:type="pct"/>
            <w:shd w:val="clear" w:color="auto" w:fill="auto"/>
            <w:vAlign w:val="center"/>
          </w:tcPr>
          <w:p w14:paraId="719FA05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vertAlign w:val="baseline"/>
                <w:lang w:val="en-US" w:eastAsia="zh-CN" w:bidi="ar-SA"/>
              </w:rPr>
              <w:t>≥</w:t>
            </w: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30</w:t>
            </w:r>
          </w:p>
        </w:tc>
        <w:tc>
          <w:tcPr>
            <w:tcW w:w="654" w:type="pct"/>
            <w:shd w:val="clear" w:color="auto" w:fill="auto"/>
            <w:vAlign w:val="center"/>
          </w:tcPr>
          <w:p w14:paraId="1EAFB3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≤60</w:t>
            </w:r>
          </w:p>
        </w:tc>
        <w:tc>
          <w:tcPr>
            <w:tcW w:w="516" w:type="pct"/>
            <w:shd w:val="clear" w:color="auto" w:fill="auto"/>
            <w:vAlign w:val="center"/>
          </w:tcPr>
          <w:p w14:paraId="166935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≤</w:t>
            </w: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vertAlign w:val="baseline"/>
                <w:lang w:val="en-US" w:eastAsia="zh-CN" w:bidi="ar-SA"/>
              </w:rPr>
              <w:t>20</w:t>
            </w:r>
          </w:p>
        </w:tc>
      </w:tr>
      <w:tr w14:paraId="2E2998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4" w:hRule="atLeast"/>
          <w:jc w:val="center"/>
        </w:trPr>
        <w:tc>
          <w:tcPr>
            <w:tcW w:w="1319" w:type="dxa"/>
            <w:vAlign w:val="center"/>
          </w:tcPr>
          <w:p w14:paraId="55314C4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B2026-11</w:t>
            </w:r>
          </w:p>
        </w:tc>
        <w:tc>
          <w:tcPr>
            <w:tcW w:w="1569" w:type="dxa"/>
            <w:vAlign w:val="center"/>
          </w:tcPr>
          <w:p w14:paraId="7054D3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1.0540</w:t>
            </w:r>
          </w:p>
        </w:tc>
        <w:tc>
          <w:tcPr>
            <w:tcW w:w="903" w:type="pct"/>
            <w:shd w:val="clear" w:color="auto" w:fill="auto"/>
            <w:vAlign w:val="center"/>
          </w:tcPr>
          <w:p w14:paraId="0DEB5C4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二类工业用地</w:t>
            </w:r>
          </w:p>
        </w:tc>
        <w:tc>
          <w:tcPr>
            <w:tcW w:w="573" w:type="pct"/>
            <w:shd w:val="clear" w:color="auto" w:fill="auto"/>
            <w:vAlign w:val="center"/>
          </w:tcPr>
          <w:p w14:paraId="6F89F7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vertAlign w:val="baseline"/>
                <w:lang w:val="en-US" w:eastAsia="zh-CN" w:bidi="ar-SA"/>
              </w:rPr>
              <w:t>≥</w:t>
            </w: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vertAlign w:val="baseline"/>
                <w:lang w:val="en-US" w:eastAsia="zh-CN" w:bidi="ar-SA"/>
              </w:rPr>
              <w:t>0.6</w:t>
            </w:r>
          </w:p>
        </w:tc>
        <w:tc>
          <w:tcPr>
            <w:tcW w:w="657" w:type="pct"/>
            <w:shd w:val="clear" w:color="auto" w:fill="auto"/>
            <w:vAlign w:val="center"/>
          </w:tcPr>
          <w:p w14:paraId="0B7EA5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vertAlign w:val="baseline"/>
                <w:lang w:val="en-US" w:eastAsia="zh-CN" w:bidi="ar-SA"/>
              </w:rPr>
              <w:t>≥</w:t>
            </w: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30</w:t>
            </w:r>
          </w:p>
        </w:tc>
        <w:tc>
          <w:tcPr>
            <w:tcW w:w="654" w:type="pct"/>
            <w:shd w:val="clear" w:color="auto" w:fill="auto"/>
            <w:vAlign w:val="center"/>
          </w:tcPr>
          <w:p w14:paraId="56C274B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≤60</w:t>
            </w:r>
          </w:p>
        </w:tc>
        <w:tc>
          <w:tcPr>
            <w:tcW w:w="516" w:type="pct"/>
            <w:shd w:val="clear" w:color="auto" w:fill="auto"/>
            <w:vAlign w:val="center"/>
          </w:tcPr>
          <w:p w14:paraId="12A243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≤</w:t>
            </w: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vertAlign w:val="baseline"/>
                <w:lang w:val="en-US" w:eastAsia="zh-CN" w:bidi="ar-SA"/>
              </w:rPr>
              <w:t>20</w:t>
            </w:r>
          </w:p>
        </w:tc>
      </w:tr>
      <w:tr w14:paraId="6A74DB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1" w:hRule="atLeast"/>
          <w:jc w:val="center"/>
        </w:trPr>
        <w:tc>
          <w:tcPr>
            <w:tcW w:w="5000" w:type="pct"/>
            <w:gridSpan w:val="7"/>
            <w:vAlign w:val="center"/>
          </w:tcPr>
          <w:p w14:paraId="1386922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vertAlign w:val="baseline"/>
                <w:lang w:val="en-US" w:eastAsia="zh-CN" w:bidi="ar-SA"/>
              </w:rPr>
              <w:t>备注：</w:t>
            </w:r>
          </w:p>
          <w:p w14:paraId="5C54019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vertAlign w:val="baseline"/>
                <w:lang w:val="en-US" w:eastAsia="zh-CN" w:bidi="ar-SA"/>
              </w:rPr>
              <w:t>1、与相邻地块合并规划时，根据相邻地块权属整体核算指标，整体指标达到图则规定即为符合规划要求，单地块可根据实际功能需求优化调整。</w:t>
            </w:r>
          </w:p>
          <w:p w14:paraId="7470E0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center"/>
              <w:rPr>
                <w:rFonts w:hint="default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vertAlign w:val="baseline"/>
                <w:lang w:val="en-US" w:eastAsia="zh-CN" w:bidi="ar-SA"/>
              </w:rPr>
              <w:t>2、工业用地配套行政办公及生活服务设施，用地面积不得超过项目总用地面积的7%，建筑面积不得超过总建筑面积的15%。</w:t>
            </w:r>
          </w:p>
        </w:tc>
      </w:tr>
    </w:tbl>
    <w:p w14:paraId="4059BB09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before="157" w:beforeLines="50" w:beforeAutospacing="0" w:after="157" w:afterLines="50" w:afterAutospacing="0" w:line="560" w:lineRule="exact"/>
        <w:ind w:firstLine="640"/>
        <w:textAlignment w:val="auto"/>
        <w:rPr>
          <w:rFonts w:hint="eastAsia" w:ascii="仿宋" w:hAnsi="仿宋" w:eastAsia="仿宋" w:cs="仿宋"/>
          <w:color w:val="00000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color w:val="000000"/>
          <w:sz w:val="32"/>
          <w:szCs w:val="32"/>
          <w:lang w:val="en-US" w:eastAsia="zh-CN"/>
        </w:rPr>
        <w:t>三、公示期限</w:t>
      </w:r>
    </w:p>
    <w:p w14:paraId="54272CC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left"/>
        <w:textAlignment w:val="auto"/>
        <w:outlineLvl w:val="0"/>
        <w:rPr>
          <w:rFonts w:hint="eastAsia" w:ascii="仿宋" w:hAnsi="仿宋" w:eastAsia="仿宋" w:cs="仿宋"/>
          <w:color w:val="00000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color w:val="000000"/>
          <w:sz w:val="32"/>
          <w:szCs w:val="32"/>
          <w:lang w:val="en-US" w:eastAsia="zh-CN"/>
        </w:rPr>
        <w:t>2026年9月30日至2026年10月29日（30天）。</w:t>
      </w:r>
    </w:p>
    <w:p w14:paraId="5A5EAD6F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before="157" w:beforeLines="50" w:beforeAutospacing="0" w:after="157" w:afterLines="50" w:afterAutospacing="0" w:line="560" w:lineRule="exact"/>
        <w:ind w:firstLine="640"/>
        <w:textAlignment w:val="auto"/>
        <w:rPr>
          <w:rFonts w:hint="eastAsia" w:ascii="仿宋" w:hAnsi="仿宋" w:eastAsia="仿宋" w:cs="仿宋"/>
          <w:color w:val="00000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color w:val="000000"/>
          <w:sz w:val="32"/>
          <w:szCs w:val="32"/>
          <w:lang w:val="en-US" w:eastAsia="zh-CN"/>
        </w:rPr>
        <w:t>四、反馈渠道</w:t>
      </w:r>
    </w:p>
    <w:p w14:paraId="3BF4FF3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left"/>
        <w:textAlignment w:val="auto"/>
        <w:outlineLvl w:val="0"/>
        <w:rPr>
          <w:rFonts w:hint="eastAsia" w:ascii="仿宋" w:hAnsi="仿宋" w:eastAsia="仿宋" w:cs="仿宋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如对本规划有意见和建议，请在公示期间以书面形式向泽州县巴公镇人民政府。联系电话：0356-3872002。电子邮箱：bgzfgb@163.com。</w:t>
      </w:r>
    </w:p>
    <w:p w14:paraId="3B76BF3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left"/>
        <w:textAlignment w:val="auto"/>
        <w:outlineLvl w:val="0"/>
        <w:rPr>
          <w:rFonts w:hint="eastAsia" w:ascii="仿宋" w:hAnsi="仿宋" w:eastAsia="仿宋" w:cs="仿宋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土地利用规划图详见附件。</w:t>
      </w:r>
    </w:p>
    <w:p w14:paraId="5667307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right"/>
        <w:textAlignment w:val="auto"/>
        <w:outlineLvl w:val="0"/>
        <w:rPr>
          <w:rFonts w:hint="eastAsia" w:ascii="仿宋" w:hAnsi="仿宋" w:eastAsia="仿宋" w:cs="仿宋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 xml:space="preserve">  </w:t>
      </w:r>
    </w:p>
    <w:p w14:paraId="7002222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right"/>
        <w:textAlignment w:val="auto"/>
        <w:outlineLvl w:val="0"/>
        <w:rPr>
          <w:rFonts w:hint="eastAsia" w:ascii="仿宋" w:hAnsi="仿宋" w:eastAsia="仿宋" w:cs="仿宋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泽州县巴公镇人民政府</w:t>
      </w:r>
    </w:p>
    <w:p w14:paraId="5C53FAA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center"/>
        <w:textAlignment w:val="auto"/>
        <w:outlineLvl w:val="0"/>
        <w:rPr>
          <w:rFonts w:hint="eastAsia" w:ascii="仿宋" w:hAnsi="仿宋" w:eastAsia="仿宋" w:cs="仿宋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                             2026年9月30日</w:t>
      </w:r>
    </w:p>
    <w:p w14:paraId="45FE151A">
      <w:pPr>
        <w:ind w:left="0" w:leftChars="0" w:firstLine="0" w:firstLineChars="0"/>
        <w:rPr>
          <w:rFonts w:hint="eastAsia" w:ascii="仿宋" w:hAnsi="仿宋" w:eastAsia="仿宋" w:cs="仿宋"/>
          <w:color w:val="00000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lang w:val="en-US" w:eastAsia="zh-CN"/>
        </w:rPr>
        <w:br w:type="page"/>
      </w:r>
      <w:r>
        <w:rPr>
          <w:rFonts w:hint="eastAsia" w:ascii="仿宋" w:hAnsi="仿宋" w:eastAsia="仿宋" w:cs="仿宋"/>
          <w:color w:val="000000"/>
          <w:sz w:val="32"/>
          <w:szCs w:val="32"/>
          <w:lang w:val="en-US" w:eastAsia="zh-CN"/>
        </w:rPr>
        <w:t>附件</w:t>
      </w: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24"/>
          <w:szCs w:val="24"/>
          <w:shd w:val="clear" w:color="auto" w:fill="FFFFFF"/>
        </w:rPr>
        <w:t>：</w:t>
      </w:r>
      <w:r>
        <w:rPr>
          <w:rFonts w:hint="eastAsia" w:ascii="仿宋" w:hAnsi="仿宋" w:eastAsia="仿宋" w:cs="仿宋"/>
          <w:color w:val="000000"/>
          <w:sz w:val="32"/>
          <w:szCs w:val="32"/>
          <w:lang w:val="en-US" w:eastAsia="zh-CN"/>
        </w:rPr>
        <w:t xml:space="preserve"> 土地利用规划图</w:t>
      </w:r>
    </w:p>
    <w:p w14:paraId="2C83259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240" w:lineRule="auto"/>
        <w:ind w:firstLine="0" w:firstLineChars="0"/>
        <w:jc w:val="both"/>
        <w:textAlignment w:val="auto"/>
        <w:rPr>
          <w:rFonts w:hint="default"/>
          <w:color w:val="000000"/>
          <w:highlight w:val="none"/>
          <w:lang w:val="en-US" w:eastAsia="zh-CN"/>
        </w:rPr>
      </w:pPr>
      <w:r>
        <w:rPr>
          <w:rFonts w:hint="default"/>
          <w:color w:val="000000"/>
          <w:highlight w:val="none"/>
          <w:lang w:val="en-US" w:eastAsia="zh-CN"/>
        </w:rPr>
        <w:drawing>
          <wp:inline distT="0" distB="0" distL="114300" distR="114300">
            <wp:extent cx="5243195" cy="3709670"/>
            <wp:effectExtent l="0" t="0" r="14605" b="5080"/>
            <wp:docPr id="3" name="图片 3" descr="4-土地利用规划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4-土地利用规划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43195" cy="37096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B90AC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240" w:lineRule="auto"/>
        <w:ind w:firstLine="0" w:firstLineChars="0"/>
        <w:jc w:val="both"/>
        <w:textAlignment w:val="auto"/>
        <w:rPr>
          <w:rFonts w:hint="default"/>
          <w:color w:val="000000"/>
          <w:highlight w:val="none"/>
          <w:lang w:val="en-US" w:eastAsia="zh-CN"/>
        </w:rPr>
      </w:pPr>
    </w:p>
    <w:p w14:paraId="59046C0B">
      <w:pPr>
        <w:ind w:left="0" w:leftChars="0" w:firstLine="0" w:firstLineChars="0"/>
        <w:rPr>
          <w:rFonts w:hint="default"/>
          <w:color w:val="000000"/>
          <w:lang w:val="en-US" w:eastAsia="zh-CN"/>
        </w:rPr>
      </w:pPr>
    </w:p>
    <w:sectPr>
      <w:pgSz w:w="11906" w:h="16838"/>
      <w:pgMar w:top="1440" w:right="1800" w:bottom="1440" w:left="1803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40"/>
      </w:pPr>
      <w:r>
        <w:separator/>
      </w:r>
    </w:p>
  </w:endnote>
  <w:endnote w:type="continuationSeparator" w:id="1">
    <w:p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81"/>
    <w:family w:val="modern"/>
    <w:pitch w:val="default"/>
    <w:sig w:usb0="00000000" w:usb1="00000000" w:usb2="00000009" w:usb3="00000000" w:csb0="400001FF" w:csb1="FFFF0000"/>
  </w:font>
  <w:font w:name="宋体">
    <w:altName w:val="方正书宋_GBK"/>
    <w:panose1 w:val="02010600030101010101"/>
    <w:charset w:val="80"/>
    <w:family w:val="auto"/>
    <w:pitch w:val="default"/>
    <w:sig w:usb0="00000000" w:usb1="00000000" w:usb2="00000006" w:usb3="00000000" w:csb0="00040001" w:csb1="00000000"/>
  </w:font>
  <w:font w:name="Wingdings">
    <w:altName w:val="MathJax_Vector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">
    <w:altName w:val="方正仿宋_GBK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MathJax_Vector">
    <w:panose1 w:val="02000603000000000000"/>
    <w:charset w:val="00"/>
    <w:family w:val="auto"/>
    <w:pitch w:val="default"/>
    <w:sig w:usb0="00000001" w:usb1="0000002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640"/>
      </w:pPr>
      <w:r>
        <w:separator/>
      </w:r>
    </w:p>
  </w:footnote>
  <w:footnote w:type="continuationSeparator" w:id="1">
    <w:p>
      <w:pPr>
        <w:spacing w:line="240" w:lineRule="auto"/>
        <w:ind w:firstLine="64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TrueTypeFonts/>
  <w:saveSubsetFonts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0E3DA0"/>
    <w:rsid w:val="018E7169"/>
    <w:rsid w:val="04E646B5"/>
    <w:rsid w:val="05CE3175"/>
    <w:rsid w:val="074128B0"/>
    <w:rsid w:val="2DE23668"/>
    <w:rsid w:val="317010C3"/>
    <w:rsid w:val="31F20FFF"/>
    <w:rsid w:val="39A20C80"/>
    <w:rsid w:val="3A1976E0"/>
    <w:rsid w:val="3E717806"/>
    <w:rsid w:val="49610774"/>
    <w:rsid w:val="4FF75F8E"/>
    <w:rsid w:val="515C6A23"/>
    <w:rsid w:val="5184720E"/>
    <w:rsid w:val="54B206DF"/>
    <w:rsid w:val="561D553B"/>
    <w:rsid w:val="57C863D9"/>
    <w:rsid w:val="584809E5"/>
    <w:rsid w:val="5A690D4F"/>
    <w:rsid w:val="60007DA6"/>
    <w:rsid w:val="60740B4D"/>
    <w:rsid w:val="6EBF2A37"/>
    <w:rsid w:val="6EDD1A75"/>
    <w:rsid w:val="6F7ED8C3"/>
    <w:rsid w:val="745429CA"/>
    <w:rsid w:val="7C081224"/>
    <w:rsid w:val="7C66113B"/>
    <w:rsid w:val="7D9F79C9"/>
    <w:rsid w:val="7E4C0659"/>
    <w:rsid w:val="7F55289C"/>
    <w:rsid w:val="7F9879B6"/>
    <w:rsid w:val="7FD34306"/>
    <w:rsid w:val="7FE80AE4"/>
    <w:rsid w:val="B3E5F5AE"/>
    <w:rsid w:val="DF27A70B"/>
    <w:rsid w:val="F7D7B1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adjustRightInd w:val="0"/>
      <w:spacing w:line="560" w:lineRule="exact"/>
      <w:ind w:firstLine="200" w:firstLineChars="200"/>
      <w:jc w:val="both"/>
    </w:pPr>
    <w:rPr>
      <w:rFonts w:ascii="仿宋_GB2312" w:hAnsi="仿宋_GB2312" w:eastAsia="仿宋_GB2312" w:cs="Times New Roman"/>
      <w:kern w:val="2"/>
      <w:sz w:val="32"/>
      <w:szCs w:val="24"/>
      <w:lang w:val="en-US" w:eastAsia="zh-CN" w:bidi="ar-SA"/>
    </w:rPr>
  </w:style>
  <w:style w:type="character" w:default="1" w:styleId="8">
    <w:name w:val="Default Paragraph Font"/>
    <w:qFormat/>
    <w:uiPriority w:val="0"/>
  </w:style>
  <w:style w:type="table" w:default="1" w:styleId="6">
    <w:name w:val="Normal Table"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styleId="3">
    <w:name w:val="Body Text Indent"/>
    <w:basedOn w:val="1"/>
    <w:qFormat/>
    <w:uiPriority w:val="0"/>
    <w:pPr>
      <w:spacing w:after="120"/>
      <w:ind w:left="420" w:leftChars="200"/>
    </w:pPr>
  </w:style>
  <w:style w:type="paragraph" w:styleId="4">
    <w:name w:val="Normal (Web)"/>
    <w:basedOn w:val="1"/>
    <w:qFormat/>
    <w:uiPriority w:val="0"/>
    <w:pPr>
      <w:spacing w:before="0" w:beforeAutospacing="0" w:after="0" w:afterAutospacing="0" w:line="240" w:lineRule="auto"/>
      <w:ind w:left="0" w:right="0"/>
      <w:jc w:val="left"/>
    </w:pPr>
    <w:rPr>
      <w:rFonts w:eastAsia="仿宋_GB2312"/>
      <w:kern w:val="0"/>
      <w:sz w:val="24"/>
    </w:rPr>
  </w:style>
  <w:style w:type="paragraph" w:styleId="5">
    <w:name w:val="Body Text First Indent 2"/>
    <w:basedOn w:val="3"/>
    <w:next w:val="1"/>
    <w:qFormat/>
    <w:uiPriority w:val="0"/>
    <w:pPr>
      <w:ind w:firstLine="420" w:firstLineChars="200"/>
    </w:pPr>
  </w:style>
  <w:style w:type="table" w:styleId="7">
    <w:name w:val="Table Grid"/>
    <w:basedOn w:val="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395</Words>
  <Characters>460</Characters>
  <Paragraphs>209</Paragraphs>
  <TotalTime>9</TotalTime>
  <ScaleCrop>false</ScaleCrop>
  <LinksUpToDate>false</LinksUpToDate>
  <CharactersWithSpaces>461</CharactersWithSpaces>
  <Application>WPS Office_12.1.2.25882_F1E327BC-269C-435d-A152-05C5408002CA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2024-04-26T17:24:00Z</dcterms:created>
  <dc:creator>yjt</dc:creator>
  <cp:lastModifiedBy>HUAWEI</cp:lastModifiedBy>
  <cp:lastPrinted>2026-09-29T11:47:06Z</cp:lastPrinted>
  <dcterms:modified xsi:type="dcterms:W3CDTF">2026-09-29T11:55:02Z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2052-12.1.2.25882</vt:lpwstr>
  </property>
  <property fmtid="{D5CDD505-2E9C-101B-9397-08002B2CF9AE}" pid="3" name="ICV">
    <vt:lpwstr>2C42286747834EB21C34BB6A7FF389F4_43</vt:lpwstr>
  </property>
  <property fmtid="{D5CDD505-2E9C-101B-9397-08002B2CF9AE}" pid="4" name="KSOTemplateDocerSaveRecord">
    <vt:lpwstr>eyJoZGlkIjoiZDM4ZmU0Y2RkOWUzZGRiOTBkYWQ1ZmRjYzM2ODg5OGEiLCJ1c2VySWQiOiI0MzYyOTU3MTcifQ==</vt:lpwstr>
  </property>
</Properties>
</file>