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651B2">
      <w:pPr>
        <w:keepNext w:val="0"/>
        <w:keepLines w:val="0"/>
        <w:pageBreakBefore w:val="0"/>
        <w:widowControl w:val="0"/>
        <w:kinsoku/>
        <w:wordWrap/>
        <w:overflowPunct/>
        <w:topLinePunct w:val="0"/>
        <w:autoSpaceDE/>
        <w:autoSpaceDN/>
        <w:bidi w:val="0"/>
        <w:adjustRightInd/>
        <w:snapToGrid/>
        <w:spacing w:before="0" w:after="0" w:line="580" w:lineRule="exact"/>
        <w:textAlignment w:val="auto"/>
        <w:rPr>
          <w:rFonts w:hint="eastAsia" w:ascii="黑体" w:hAnsi="黑体" w:eastAsia="黑体" w:cs="黑体"/>
          <w:sz w:val="32"/>
          <w:szCs w:val="32"/>
        </w:rPr>
      </w:pPr>
    </w:p>
    <w:p w14:paraId="7AE57DC9">
      <w:pPr>
        <w:keepNext w:val="0"/>
        <w:keepLines w:val="0"/>
        <w:pageBreakBefore w:val="0"/>
        <w:widowControl w:val="0"/>
        <w:kinsoku/>
        <w:wordWrap/>
        <w:overflowPunct/>
        <w:topLinePunct w:val="0"/>
        <w:autoSpaceDE/>
        <w:autoSpaceDN/>
        <w:bidi w:val="0"/>
        <w:adjustRightInd/>
        <w:snapToGrid/>
        <w:spacing w:before="0" w:after="0" w:line="580" w:lineRule="exact"/>
        <w:textAlignment w:val="auto"/>
        <w:rPr>
          <w:rFonts w:hint="eastAsia" w:ascii="方正小标宋简体" w:eastAsia="方正小标宋简体"/>
          <w:sz w:val="44"/>
          <w:szCs w:val="44"/>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r>
        <w:rPr>
          <w:rFonts w:hint="eastAsia" w:ascii="黑体" w:hAnsi="黑体" w:eastAsia="黑体" w:cs="黑体"/>
          <w:sz w:val="32"/>
          <w:szCs w:val="32"/>
        </w:rPr>
        <w:t>：</w:t>
      </w:r>
    </w:p>
    <w:p w14:paraId="617BEE2B">
      <w:pPr>
        <w:spacing w:line="560" w:lineRule="exact"/>
        <w:jc w:val="center"/>
        <w:rPr>
          <w:rFonts w:hint="eastAsia" w:ascii="方正小标宋简体" w:hAnsi="Calibri" w:eastAsia="方正小标宋简体" w:cs="Times New Roman"/>
          <w:sz w:val="44"/>
          <w:szCs w:val="44"/>
        </w:rPr>
      </w:pPr>
    </w:p>
    <w:p w14:paraId="1919BA6B">
      <w:pPr>
        <w:spacing w:line="560" w:lineRule="exact"/>
        <w:jc w:val="center"/>
        <w:rPr>
          <w:rFonts w:hint="default"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rPr>
        <w:t>大阳镇玉米秸秆综合利用工作领导小组</w:t>
      </w:r>
    </w:p>
    <w:p w14:paraId="68B1C75C">
      <w:pPr>
        <w:keepNext w:val="0"/>
        <w:keepLines w:val="0"/>
        <w:pageBreakBefore w:val="0"/>
        <w:widowControl w:val="0"/>
        <w:kinsoku/>
        <w:wordWrap/>
        <w:overflowPunct/>
        <w:topLinePunct w:val="0"/>
        <w:autoSpaceDE/>
        <w:autoSpaceDN/>
        <w:bidi w:val="0"/>
        <w:adjustRightInd w:val="0"/>
        <w:snapToGrid/>
        <w:spacing w:line="580" w:lineRule="exact"/>
        <w:ind w:firstLine="640" w:firstLineChars="200"/>
        <w:textAlignment w:val="auto"/>
        <w:rPr>
          <w:rFonts w:hint="eastAsia" w:ascii="仿宋" w:hAnsi="仿宋" w:eastAsia="仿宋" w:cs="仿宋"/>
          <w:snapToGrid w:val="0"/>
          <w:color w:val="auto"/>
          <w:sz w:val="32"/>
          <w:szCs w:val="32"/>
        </w:rPr>
      </w:pPr>
    </w:p>
    <w:p w14:paraId="66CA3846">
      <w:pPr>
        <w:keepNext w:val="0"/>
        <w:keepLines w:val="0"/>
        <w:pageBreakBefore w:val="0"/>
        <w:widowControl w:val="0"/>
        <w:kinsoku/>
        <w:wordWrap/>
        <w:overflowPunct/>
        <w:topLinePunct w:val="0"/>
        <w:autoSpaceDE/>
        <w:autoSpaceDN/>
        <w:bidi w:val="0"/>
        <w:adjustRightInd w:val="0"/>
        <w:snapToGrid/>
        <w:spacing w:line="580" w:lineRule="exact"/>
        <w:ind w:firstLine="640" w:firstLineChars="2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组  长：</w:t>
      </w:r>
      <w:r>
        <w:rPr>
          <w:rFonts w:hint="eastAsia" w:ascii="仿宋_GB2312" w:hAnsi="仿宋_GB2312" w:eastAsia="仿宋_GB2312" w:cs="仿宋_GB2312"/>
          <w:snapToGrid w:val="0"/>
          <w:color w:val="auto"/>
          <w:sz w:val="32"/>
          <w:szCs w:val="32"/>
          <w:lang w:val="en-US" w:eastAsia="zh-CN"/>
        </w:rPr>
        <w:t>钱  瑜（党委副书记、镇长）</w:t>
      </w:r>
    </w:p>
    <w:p w14:paraId="13738F8C">
      <w:pPr>
        <w:keepNext w:val="0"/>
        <w:keepLines w:val="0"/>
        <w:pageBreakBefore w:val="0"/>
        <w:widowControl w:val="0"/>
        <w:kinsoku/>
        <w:wordWrap/>
        <w:overflowPunct/>
        <w:topLinePunct w:val="0"/>
        <w:autoSpaceDE/>
        <w:autoSpaceDN/>
        <w:bidi w:val="0"/>
        <w:adjustRightInd w:val="0"/>
        <w:snapToGrid/>
        <w:spacing w:line="580" w:lineRule="exact"/>
        <w:ind w:firstLine="640" w:firstLineChars="2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副组长：</w:t>
      </w:r>
      <w:r>
        <w:rPr>
          <w:rFonts w:hint="eastAsia" w:ascii="仿宋_GB2312" w:hAnsi="仿宋_GB2312" w:eastAsia="仿宋_GB2312" w:cs="仿宋_GB2312"/>
          <w:snapToGrid w:val="0"/>
          <w:color w:val="auto"/>
          <w:sz w:val="32"/>
          <w:szCs w:val="32"/>
          <w:lang w:val="en-US" w:eastAsia="zh-CN"/>
        </w:rPr>
        <w:t>孙军杰</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党委副书记、河底片片长</w:t>
      </w:r>
      <w:r>
        <w:rPr>
          <w:rFonts w:hint="eastAsia" w:ascii="仿宋_GB2312" w:hAnsi="仿宋_GB2312" w:eastAsia="仿宋_GB2312" w:cs="仿宋_GB2312"/>
          <w:snapToGrid w:val="0"/>
          <w:color w:val="auto"/>
          <w:sz w:val="32"/>
          <w:szCs w:val="32"/>
        </w:rPr>
        <w:t>）</w:t>
      </w:r>
    </w:p>
    <w:p w14:paraId="01E9C150">
      <w:pPr>
        <w:keepNext w:val="0"/>
        <w:keepLines w:val="0"/>
        <w:pageBreakBefore w:val="0"/>
        <w:widowControl w:val="0"/>
        <w:kinsoku/>
        <w:wordWrap/>
        <w:overflowPunct/>
        <w:topLinePunct w:val="0"/>
        <w:autoSpaceDE/>
        <w:autoSpaceDN/>
        <w:bidi w:val="0"/>
        <w:adjustRightInd w:val="0"/>
        <w:snapToGrid/>
        <w:spacing w:line="580" w:lineRule="exact"/>
        <w:ind w:firstLine="1920" w:firstLineChars="600"/>
        <w:textAlignment w:val="auto"/>
        <w:rPr>
          <w:rFonts w:hint="eastAsia" w:ascii="仿宋_GB2312" w:hAnsi="仿宋_GB2312" w:eastAsia="仿宋_GB2312" w:cs="仿宋_GB2312"/>
          <w:snapToGrid w:val="0"/>
          <w:color w:val="auto"/>
          <w:sz w:val="32"/>
          <w:szCs w:val="32"/>
          <w:lang w:val="en-US" w:eastAsia="zh-CN"/>
        </w:rPr>
      </w:pPr>
      <w:r>
        <w:rPr>
          <w:rFonts w:hint="eastAsia" w:ascii="仿宋_GB2312" w:hAnsi="仿宋_GB2312" w:eastAsia="仿宋_GB2312" w:cs="仿宋_GB2312"/>
          <w:snapToGrid w:val="0"/>
          <w:color w:val="auto"/>
          <w:sz w:val="32"/>
          <w:szCs w:val="32"/>
          <w:lang w:val="en-US" w:eastAsia="zh-CN"/>
        </w:rPr>
        <w:t>徐会云（人大主席、南社片片长）</w:t>
      </w:r>
    </w:p>
    <w:p w14:paraId="1EBE8C00">
      <w:pPr>
        <w:pStyle w:val="2"/>
        <w:keepNext w:val="0"/>
        <w:keepLines w:val="0"/>
        <w:pageBreakBefore w:val="0"/>
        <w:widowControl w:val="0"/>
        <w:kinsoku/>
        <w:wordWrap/>
        <w:overflowPunct/>
        <w:topLinePunct w:val="0"/>
        <w:autoSpaceDE/>
        <w:autoSpaceDN/>
        <w:bidi w:val="0"/>
        <w:snapToGrid/>
        <w:spacing w:line="580" w:lineRule="exact"/>
        <w:ind w:left="420" w:leftChars="200" w:firstLine="1459" w:firstLineChars="456"/>
        <w:textAlignment w:val="auto"/>
        <w:rPr>
          <w:rFonts w:hint="eastAsia" w:ascii="仿宋_GB2312" w:hAnsi="仿宋_GB2312" w:eastAsia="仿宋_GB2312" w:cs="仿宋_GB2312"/>
          <w:snapToGrid w:val="0"/>
          <w:color w:val="auto"/>
          <w:sz w:val="32"/>
          <w:szCs w:val="32"/>
          <w:lang w:val="en-US" w:eastAsia="zh-CN"/>
        </w:rPr>
      </w:pPr>
      <w:r>
        <w:rPr>
          <w:rFonts w:hint="eastAsia" w:ascii="仿宋_GB2312" w:hAnsi="仿宋_GB2312" w:eastAsia="仿宋_GB2312" w:cs="仿宋_GB2312"/>
          <w:snapToGrid w:val="0"/>
          <w:color w:val="auto"/>
          <w:sz w:val="32"/>
          <w:szCs w:val="32"/>
          <w:lang w:val="en-US" w:eastAsia="zh-CN"/>
        </w:rPr>
        <w:t>李  燕（党委委员、副镇长、大阳片片长）</w:t>
      </w:r>
    </w:p>
    <w:p w14:paraId="2E9845DA">
      <w:pPr>
        <w:keepNext w:val="0"/>
        <w:keepLines w:val="0"/>
        <w:pageBreakBefore w:val="0"/>
        <w:widowControl w:val="0"/>
        <w:kinsoku/>
        <w:wordWrap/>
        <w:overflowPunct/>
        <w:topLinePunct w:val="0"/>
        <w:autoSpaceDE/>
        <w:autoSpaceDN/>
        <w:bidi w:val="0"/>
        <w:adjustRightInd w:val="0"/>
        <w:snapToGrid/>
        <w:spacing w:line="580" w:lineRule="exact"/>
        <w:ind w:firstLine="1920" w:firstLineChars="600"/>
        <w:textAlignment w:val="auto"/>
        <w:rPr>
          <w:rFonts w:hint="eastAsia" w:ascii="仿宋_GB2312" w:hAnsi="仿宋_GB2312" w:eastAsia="仿宋_GB2312" w:cs="仿宋_GB2312"/>
          <w:snapToGrid w:val="0"/>
          <w:color w:val="auto"/>
          <w:sz w:val="32"/>
          <w:szCs w:val="32"/>
          <w:lang w:val="en-US" w:eastAsia="zh-CN"/>
        </w:rPr>
      </w:pPr>
      <w:r>
        <w:rPr>
          <w:rFonts w:hint="eastAsia" w:ascii="仿宋_GB2312" w:hAnsi="仿宋_GB2312" w:eastAsia="仿宋_GB2312" w:cs="仿宋_GB2312"/>
          <w:snapToGrid w:val="0"/>
          <w:color w:val="auto"/>
          <w:sz w:val="32"/>
          <w:szCs w:val="32"/>
          <w:lang w:val="en-US" w:eastAsia="zh-CN"/>
        </w:rPr>
        <w:t>樊  帆（武装部长、西片片长）</w:t>
      </w:r>
    </w:p>
    <w:p w14:paraId="175057F2">
      <w:pPr>
        <w:keepNext w:val="0"/>
        <w:keepLines w:val="0"/>
        <w:pageBreakBefore w:val="0"/>
        <w:widowControl w:val="0"/>
        <w:kinsoku/>
        <w:wordWrap/>
        <w:overflowPunct/>
        <w:topLinePunct w:val="0"/>
        <w:autoSpaceDE/>
        <w:autoSpaceDN/>
        <w:bidi w:val="0"/>
        <w:adjustRightInd w:val="0"/>
        <w:snapToGrid/>
        <w:spacing w:line="580" w:lineRule="exact"/>
        <w:ind w:firstLine="640" w:firstLineChars="2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成  员：</w:t>
      </w:r>
      <w:r>
        <w:rPr>
          <w:rFonts w:hint="eastAsia" w:ascii="仿宋_GB2312" w:hAnsi="仿宋_GB2312" w:eastAsia="仿宋_GB2312" w:cs="仿宋_GB2312"/>
          <w:snapToGrid w:val="0"/>
          <w:color w:val="auto"/>
          <w:sz w:val="32"/>
          <w:szCs w:val="32"/>
          <w:lang w:val="en-US" w:eastAsia="zh-CN"/>
        </w:rPr>
        <w:t>宋建利</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农经站站长</w:t>
      </w:r>
      <w:r>
        <w:rPr>
          <w:rFonts w:hint="eastAsia" w:ascii="仿宋_GB2312" w:hAnsi="仿宋_GB2312" w:eastAsia="仿宋_GB2312" w:cs="仿宋_GB2312"/>
          <w:snapToGrid w:val="0"/>
          <w:color w:val="auto"/>
          <w:sz w:val="32"/>
          <w:szCs w:val="32"/>
        </w:rPr>
        <w:t>）</w:t>
      </w:r>
    </w:p>
    <w:p w14:paraId="2187350C">
      <w:pPr>
        <w:keepNext w:val="0"/>
        <w:keepLines w:val="0"/>
        <w:pageBreakBefore w:val="0"/>
        <w:widowControl w:val="0"/>
        <w:kinsoku/>
        <w:wordWrap/>
        <w:overflowPunct/>
        <w:topLinePunct w:val="0"/>
        <w:autoSpaceDE/>
        <w:autoSpaceDN/>
        <w:bidi w:val="0"/>
        <w:adjustRightInd w:val="0"/>
        <w:snapToGrid/>
        <w:spacing w:line="580" w:lineRule="exact"/>
        <w:ind w:firstLine="1920" w:firstLineChars="600"/>
        <w:textAlignment w:val="auto"/>
        <w:rPr>
          <w:rFonts w:hint="eastAsia" w:ascii="仿宋_GB2312" w:hAnsi="仿宋_GB2312" w:eastAsia="仿宋_GB2312" w:cs="仿宋_GB2312"/>
          <w:snapToGrid w:val="0"/>
          <w:color w:val="auto"/>
          <w:sz w:val="32"/>
          <w:szCs w:val="32"/>
          <w:lang w:val="en-US" w:eastAsia="zh-CN"/>
        </w:rPr>
      </w:pPr>
      <w:r>
        <w:rPr>
          <w:rFonts w:hint="eastAsia" w:ascii="仿宋_GB2312" w:hAnsi="仿宋_GB2312" w:eastAsia="仿宋_GB2312" w:cs="仿宋_GB2312"/>
          <w:snapToGrid w:val="0"/>
          <w:color w:val="auto"/>
          <w:sz w:val="32"/>
          <w:szCs w:val="32"/>
          <w:lang w:val="en-US" w:eastAsia="zh-CN"/>
        </w:rPr>
        <w:t>李俊波</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林业站站长</w:t>
      </w:r>
      <w:r>
        <w:rPr>
          <w:rFonts w:hint="eastAsia" w:ascii="仿宋_GB2312" w:hAnsi="仿宋_GB2312" w:eastAsia="仿宋_GB2312" w:cs="仿宋_GB2312"/>
          <w:snapToGrid w:val="0"/>
          <w:color w:val="auto"/>
          <w:sz w:val="32"/>
          <w:szCs w:val="32"/>
        </w:rPr>
        <w:t>）</w:t>
      </w:r>
    </w:p>
    <w:p w14:paraId="74D09724">
      <w:pPr>
        <w:keepNext w:val="0"/>
        <w:keepLines w:val="0"/>
        <w:pageBreakBefore w:val="0"/>
        <w:widowControl w:val="0"/>
        <w:kinsoku/>
        <w:wordWrap/>
        <w:overflowPunct/>
        <w:topLinePunct w:val="0"/>
        <w:autoSpaceDE/>
        <w:autoSpaceDN/>
        <w:bidi w:val="0"/>
        <w:adjustRightInd w:val="0"/>
        <w:snapToGrid/>
        <w:spacing w:line="580" w:lineRule="exact"/>
        <w:ind w:firstLine="1920" w:firstLineChars="600"/>
        <w:textAlignment w:val="auto"/>
        <w:rPr>
          <w:rFonts w:hint="eastAsia" w:ascii="仿宋_GB2312" w:hAnsi="仿宋_GB2312" w:eastAsia="仿宋_GB2312" w:cs="仿宋_GB2312"/>
        </w:rPr>
      </w:pPr>
      <w:r>
        <w:rPr>
          <w:rFonts w:hint="eastAsia" w:ascii="仿宋_GB2312" w:hAnsi="仿宋_GB2312" w:eastAsia="仿宋_GB2312" w:cs="仿宋_GB2312"/>
          <w:snapToGrid w:val="0"/>
          <w:color w:val="auto"/>
          <w:sz w:val="32"/>
          <w:szCs w:val="32"/>
          <w:lang w:val="en-US" w:eastAsia="zh-CN"/>
        </w:rPr>
        <w:t>田晋媛</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农科站站长</w:t>
      </w:r>
      <w:r>
        <w:rPr>
          <w:rFonts w:hint="eastAsia" w:ascii="仿宋_GB2312" w:hAnsi="仿宋_GB2312" w:eastAsia="仿宋_GB2312" w:cs="仿宋_GB2312"/>
          <w:snapToGrid w:val="0"/>
          <w:color w:val="auto"/>
          <w:sz w:val="32"/>
          <w:szCs w:val="32"/>
        </w:rPr>
        <w:t>）</w:t>
      </w:r>
    </w:p>
    <w:p w14:paraId="314D3B08">
      <w:pPr>
        <w:keepNext w:val="0"/>
        <w:keepLines w:val="0"/>
        <w:pageBreakBefore w:val="0"/>
        <w:widowControl w:val="0"/>
        <w:kinsoku/>
        <w:wordWrap/>
        <w:overflowPunct/>
        <w:topLinePunct w:val="0"/>
        <w:autoSpaceDE/>
        <w:autoSpaceDN/>
        <w:bidi w:val="0"/>
        <w:adjustRightInd w:val="0"/>
        <w:snapToGrid/>
        <w:spacing w:line="580" w:lineRule="exact"/>
        <w:ind w:firstLine="1920" w:firstLineChars="6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李盛盛</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农机站负责人</w:t>
      </w:r>
      <w:r>
        <w:rPr>
          <w:rFonts w:hint="eastAsia" w:ascii="仿宋_GB2312" w:hAnsi="仿宋_GB2312" w:eastAsia="仿宋_GB2312" w:cs="仿宋_GB2312"/>
          <w:snapToGrid w:val="0"/>
          <w:color w:val="auto"/>
          <w:sz w:val="32"/>
          <w:szCs w:val="32"/>
        </w:rPr>
        <w:t>）</w:t>
      </w:r>
    </w:p>
    <w:p w14:paraId="10C51D50">
      <w:pPr>
        <w:pStyle w:val="2"/>
        <w:keepNext w:val="0"/>
        <w:keepLines w:val="0"/>
        <w:pageBreakBefore w:val="0"/>
        <w:widowControl w:val="0"/>
        <w:kinsoku/>
        <w:wordWrap/>
        <w:overflowPunct/>
        <w:topLinePunct w:val="0"/>
        <w:autoSpaceDE/>
        <w:autoSpaceDN/>
        <w:bidi w:val="0"/>
        <w:snapToGrid/>
        <w:spacing w:line="580" w:lineRule="exact"/>
        <w:ind w:left="0" w:leftChars="0" w:firstLine="1920" w:firstLineChars="6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napToGrid w:val="0"/>
          <w:color w:val="auto"/>
          <w:sz w:val="32"/>
          <w:szCs w:val="32"/>
          <w:lang w:val="en-US" w:eastAsia="zh-CN"/>
        </w:rPr>
        <w:t>各村党支部书记、主任</w:t>
      </w:r>
    </w:p>
    <w:p w14:paraId="3EFE839F">
      <w:pPr>
        <w:spacing w:before="0" w:after="0" w:line="576" w:lineRule="exact"/>
        <w:ind w:firstLine="640"/>
        <w:rPr>
          <w:rFonts w:hint="eastAsia" w:ascii="仿宋_GB2312" w:hAnsi="仿宋_GB2312" w:eastAsia="仿宋_GB2312" w:cs="仿宋_GB2312"/>
          <w:b w:val="0"/>
          <w:color w:val="000000"/>
          <w:sz w:val="32"/>
          <w:lang w:val="en-US" w:eastAsia="zh-CN"/>
        </w:rPr>
      </w:pPr>
    </w:p>
    <w:p w14:paraId="28EFEF20">
      <w:pPr>
        <w:rPr>
          <w:rFonts w:hint="eastAsia" w:ascii="仿宋_GB2312" w:hAnsi="仿宋_GB2312" w:eastAsia="仿宋_GB2312" w:cs="仿宋_GB2312"/>
        </w:rPr>
      </w:pPr>
    </w:p>
    <w:p w14:paraId="4FFCD2C7">
      <w:pPr>
        <w:spacing w:line="560" w:lineRule="exact"/>
        <w:rPr>
          <w:rFonts w:hint="eastAsia" w:ascii="仿宋_GB2312" w:hAnsi="仿宋_GB2312" w:eastAsia="仿宋_GB2312" w:cs="仿宋_GB2312"/>
          <w:sz w:val="32"/>
          <w:szCs w:val="32"/>
        </w:rPr>
      </w:pPr>
    </w:p>
    <w:p w14:paraId="3341E135">
      <w:pPr>
        <w:spacing w:line="560" w:lineRule="exact"/>
        <w:rPr>
          <w:rFonts w:hint="eastAsia" w:ascii="仿宋_GB2312" w:hAnsi="仿宋_GB2312" w:eastAsia="仿宋_GB2312" w:cs="仿宋_GB2312"/>
          <w:sz w:val="32"/>
          <w:szCs w:val="32"/>
        </w:rPr>
      </w:pPr>
    </w:p>
    <w:p w14:paraId="2436D55C">
      <w:pPr>
        <w:spacing w:line="560" w:lineRule="exact"/>
        <w:rPr>
          <w:rFonts w:hint="eastAsia" w:ascii="仿宋_GB2312" w:hAnsi="仿宋_GB2312" w:eastAsia="仿宋_GB2312" w:cs="仿宋_GB2312"/>
          <w:sz w:val="32"/>
          <w:szCs w:val="32"/>
        </w:rPr>
      </w:pPr>
    </w:p>
    <w:p w14:paraId="2E2A5B38">
      <w:pPr>
        <w:spacing w:line="560" w:lineRule="exact"/>
        <w:rPr>
          <w:rFonts w:hint="eastAsia" w:ascii="仿宋_GB2312" w:hAnsi="仿宋_GB2312" w:eastAsia="仿宋_GB2312" w:cs="仿宋_GB2312"/>
          <w:sz w:val="32"/>
          <w:szCs w:val="32"/>
        </w:rPr>
      </w:pPr>
    </w:p>
    <w:p w14:paraId="6456048A">
      <w:pPr>
        <w:spacing w:line="560" w:lineRule="exact"/>
        <w:rPr>
          <w:rFonts w:hint="eastAsia" w:ascii="仿宋_GB2312" w:hAnsi="仿宋_GB2312" w:eastAsia="仿宋_GB2312" w:cs="仿宋_GB2312"/>
          <w:sz w:val="32"/>
          <w:szCs w:val="32"/>
        </w:rPr>
      </w:pPr>
    </w:p>
    <w:p w14:paraId="4E17EDE4">
      <w:pPr>
        <w:spacing w:line="560" w:lineRule="exact"/>
        <w:rPr>
          <w:rFonts w:hint="eastAsia" w:ascii="仿宋_GB2312" w:hAnsi="仿宋_GB2312" w:eastAsia="仿宋_GB2312" w:cs="仿宋_GB2312"/>
          <w:sz w:val="32"/>
          <w:szCs w:val="32"/>
        </w:rPr>
      </w:pPr>
    </w:p>
    <w:p w14:paraId="4413599B">
      <w:pPr>
        <w:spacing w:line="560" w:lineRule="exact"/>
        <w:rPr>
          <w:rFonts w:hint="eastAsia" w:ascii="黑体" w:hAnsi="黑体" w:eastAsia="黑体" w:cs="黑体"/>
          <w:sz w:val="32"/>
          <w:szCs w:val="32"/>
        </w:rPr>
      </w:pPr>
    </w:p>
    <w:p w14:paraId="142E2F2C">
      <w:pPr>
        <w:spacing w:line="560" w:lineRule="exact"/>
        <w:rPr>
          <w:rFonts w:hint="eastAsia" w:ascii="黑体" w:hAnsi="黑体" w:eastAsia="黑体" w:cs="黑体"/>
          <w:sz w:val="44"/>
          <w:szCs w:val="44"/>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w:t>
      </w:r>
    </w:p>
    <w:p w14:paraId="74A0D6CA">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玉米秸秆利用技术要点</w:t>
      </w:r>
    </w:p>
    <w:p w14:paraId="3F2100AB">
      <w:pPr>
        <w:spacing w:line="560" w:lineRule="exact"/>
        <w:ind w:firstLine="640" w:firstLineChars="200"/>
        <w:rPr>
          <w:rFonts w:hint="eastAsia" w:ascii="仿宋_GB2312" w:hAnsi="黑体" w:eastAsia="仿宋_GB2312" w:cs="仿宋_GB2312"/>
          <w:sz w:val="32"/>
          <w:szCs w:val="32"/>
        </w:rPr>
      </w:pPr>
      <w:r>
        <w:rPr>
          <w:rFonts w:hint="eastAsia" w:ascii="仿宋_GB2312" w:hAnsi="黑体" w:eastAsia="仿宋_GB2312" w:cs="仿宋_GB2312"/>
          <w:sz w:val="32"/>
          <w:szCs w:val="32"/>
        </w:rPr>
        <w:t>为科学指导各</w:t>
      </w:r>
      <w:r>
        <w:rPr>
          <w:rFonts w:hint="eastAsia" w:ascii="仿宋_GB2312" w:hAnsi="黑体" w:eastAsia="仿宋_GB2312" w:cs="仿宋_GB2312"/>
          <w:sz w:val="32"/>
          <w:szCs w:val="32"/>
          <w:lang w:val="en-US" w:eastAsia="zh-CN"/>
        </w:rPr>
        <w:t>村</w:t>
      </w:r>
      <w:r>
        <w:rPr>
          <w:rFonts w:hint="eastAsia" w:ascii="仿宋_GB2312" w:hAnsi="黑体" w:eastAsia="仿宋_GB2312" w:cs="仿宋_GB2312"/>
          <w:sz w:val="32"/>
          <w:szCs w:val="32"/>
        </w:rPr>
        <w:t>开展秋季玉米秸秆综合利用工作，规范还田与离田作业规程，提升秸秆资源化利用水平，结合我</w:t>
      </w:r>
      <w:r>
        <w:rPr>
          <w:rFonts w:hint="eastAsia" w:ascii="仿宋_GB2312" w:hAnsi="黑体" w:eastAsia="仿宋_GB2312" w:cs="仿宋_GB2312"/>
          <w:sz w:val="32"/>
          <w:szCs w:val="32"/>
          <w:lang w:val="en-US" w:eastAsia="zh-CN"/>
        </w:rPr>
        <w:t>镇</w:t>
      </w:r>
      <w:r>
        <w:rPr>
          <w:rFonts w:hint="eastAsia" w:ascii="仿宋_GB2312" w:hAnsi="黑体" w:eastAsia="仿宋_GB2312" w:cs="仿宋_GB2312"/>
          <w:sz w:val="32"/>
          <w:szCs w:val="32"/>
        </w:rPr>
        <w:t>实际，制定本技术要点。</w:t>
      </w:r>
    </w:p>
    <w:p w14:paraId="0334C264">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一、秸秆还田</w:t>
      </w:r>
    </w:p>
    <w:p w14:paraId="278009B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坚持“宜还则还”原则，对适宜机械化作业的地块，因地制宜推广秸秆粉碎翻埋等还田模式。</w:t>
      </w:r>
    </w:p>
    <w:p w14:paraId="2999D9D0">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（一）秸秆粉碎</w:t>
      </w:r>
    </w:p>
    <w:p w14:paraId="458B014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采用带有秸秆粉碎装置的玉米联合收获机或专用秸秆粉碎还田机进行作业，一次性完成玉米收获与秸秆粉碎抛撒。秸秆粉碎还田切碎长度 5-10厘米，留茬高度小于20厘米，粉碎长度合格率≥90%，抛撒不均匀率≤25%。</w:t>
      </w:r>
    </w:p>
    <w:p w14:paraId="273EA612">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（二）还田模式</w:t>
      </w:r>
    </w:p>
    <w:p w14:paraId="0D0C02F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旋耕还田。将地表玉米秸秆混埋入土，旋耕深度≥12厘米，作业后地表平整、土壤细碎、无漏耕。</w:t>
      </w:r>
    </w:p>
    <w:p w14:paraId="1808103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深翻还田。将地表玉米秸秆深翻入土，耕深≥25厘米。翻耕后及时用旋耕机整平压实，防止跑墒。</w:t>
      </w:r>
    </w:p>
    <w:p w14:paraId="6804A5BE">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二、秸秆离田</w:t>
      </w:r>
    </w:p>
    <w:p w14:paraId="3D99EB2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坚持“宜离则离”原则，按照“农用优先、多元利用”要求，大力推进秸秆离田资源化利用，实现田间无直立、地头路边无堆放的目标。</w:t>
      </w:r>
    </w:p>
    <w:p w14:paraId="77DDA9C9">
      <w:pPr>
        <w:spacing w:line="56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（一）收割要求。</w:t>
      </w:r>
      <w:r>
        <w:rPr>
          <w:rFonts w:hint="eastAsia" w:ascii="仿宋_GB2312" w:hAnsi="仿宋_GB2312" w:eastAsia="仿宋_GB2312" w:cs="仿宋_GB2312"/>
          <w:sz w:val="32"/>
          <w:szCs w:val="32"/>
        </w:rPr>
        <w:t>玉米完熟期及时抢晴收获，秸秆留茬高度控制在20厘米以下，便于后期收集作业。</w:t>
      </w:r>
    </w:p>
    <w:p w14:paraId="3A065A15">
      <w:pPr>
        <w:spacing w:line="560" w:lineRule="exact"/>
        <w:ind w:firstLine="640" w:firstLineChars="200"/>
        <w:rPr>
          <w:rFonts w:hint="eastAsia" w:ascii="仿宋_GB2312" w:eastAsia="仿宋_GB2312"/>
          <w:sz w:val="32"/>
          <w:szCs w:val="32"/>
        </w:rPr>
      </w:pPr>
      <w:r>
        <w:rPr>
          <w:rFonts w:hint="eastAsia" w:ascii="楷体_GB2312" w:hAnsi="楷体_GB2312" w:eastAsia="楷体_GB2312" w:cs="楷体_GB2312"/>
          <w:sz w:val="32"/>
          <w:szCs w:val="32"/>
        </w:rPr>
        <w:t>（二）利用途径。</w:t>
      </w:r>
      <w:r>
        <w:rPr>
          <w:rFonts w:hint="eastAsia" w:ascii="仿宋_GB2312" w:eastAsia="仿宋_GB2312"/>
          <w:sz w:val="32"/>
          <w:szCs w:val="32"/>
        </w:rPr>
        <w:t>按照“宜饲则饲、宜燃则燃、宜肥则肥、宜基则宜”的要求，因地制宜选择离田利用方向。</w:t>
      </w:r>
    </w:p>
    <w:p w14:paraId="27F6F00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w:t>
      </w:r>
      <w:r>
        <w:rPr>
          <w:rFonts w:hint="eastAsia" w:ascii="仿宋_GB2312" w:eastAsia="仿宋_GB2312"/>
          <w:sz w:val="32"/>
          <w:szCs w:val="32"/>
        </w:rPr>
        <w:t>饲料化利用：秸秆打捆离田后，青贮、黄贮或揉丝加工等方式作为饲料。</w:t>
      </w:r>
    </w:p>
    <w:p w14:paraId="2258F2F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能源化利用：秸秆打捆离田后，可作为生物质发电燃料或加工成秸秆压块燃料。</w:t>
      </w:r>
    </w:p>
    <w:p w14:paraId="6F184E5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肥料化利用：秸秆离田后可通过堆沤发酵、生产有机肥等方式转化为商品有机肥。</w:t>
      </w:r>
    </w:p>
    <w:p w14:paraId="75C3685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w:t>
      </w:r>
      <w:r>
        <w:rPr>
          <w:rFonts w:hint="eastAsia" w:ascii="仿宋_GB2312" w:eastAsia="仿宋_GB2312"/>
          <w:sz w:val="32"/>
          <w:szCs w:val="32"/>
          <w:lang w:val="en-US" w:eastAsia="zh-CN"/>
        </w:rPr>
        <w:t>.</w:t>
      </w:r>
      <w:r>
        <w:rPr>
          <w:rFonts w:hint="eastAsia" w:ascii="仿宋_GB2312" w:eastAsia="仿宋_GB2312"/>
          <w:sz w:val="32"/>
          <w:szCs w:val="32"/>
        </w:rPr>
        <w:t>基料化利用：玉米秸秆粉碎后可作为食用菌栽培基质。</w:t>
      </w:r>
    </w:p>
    <w:p w14:paraId="2EC77B9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w:t>
      </w:r>
      <w:r>
        <w:rPr>
          <w:rFonts w:hint="eastAsia" w:ascii="仿宋_GB2312" w:eastAsia="仿宋_GB2312"/>
          <w:sz w:val="32"/>
          <w:szCs w:val="32"/>
          <w:lang w:val="en-US" w:eastAsia="zh-CN"/>
        </w:rPr>
        <w:t>.</w:t>
      </w:r>
      <w:r>
        <w:rPr>
          <w:rFonts w:hint="eastAsia" w:ascii="仿宋_GB2312" w:eastAsia="仿宋_GB2312"/>
          <w:sz w:val="32"/>
          <w:szCs w:val="32"/>
        </w:rPr>
        <w:t>原料化利用：秸秆可用于生产人造板材、纸浆、可降解餐具等工业原料。</w:t>
      </w:r>
    </w:p>
    <w:p w14:paraId="4A1F32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yOWZjNDc1MDRkNDJhODY2MTdiNTBmZGQwYTVjN2EifQ=="/>
  </w:docVars>
  <w:rsids>
    <w:rsidRoot w:val="671B718C"/>
    <w:rsid w:val="671B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widowControl/>
      <w:ind w:firstLine="420" w:firstLineChars="200"/>
    </w:pPr>
  </w:style>
  <w:style w:type="paragraph" w:styleId="3">
    <w:name w:val="Body Text Indent"/>
    <w:basedOn w:val="1"/>
    <w:unhideWhenUsed/>
    <w:qFormat/>
    <w:uiPriority w:val="0"/>
    <w:pPr>
      <w:spacing w:after="12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2026-10-26T01:13:00Z</dcterms:created>
  <dc:creator>Administrator</dc:creator>
  <cp:lastModifiedBy>Administrator</cp:lastModifiedBy>
  <dcterms:modified xsi:type="dcterms:W3CDTF">2026-10-26T07:47:15Z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4F03465E1857453C85C57502FCB3EC5B_11</vt:lpwstr>
  </property>
</Properties>
</file>