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B59CF">
      <w:pPr>
        <w:shd w:val="clear" w:color="auto" w:fill="FFFFFF"/>
        <w:spacing w:before="75" w:after="75"/>
        <w:ind w:left="0" w:right="0"/>
        <w:jc w:val="center"/>
      </w:pPr>
    </w:p>
    <w:p w14:paraId="6CC7893E">
      <w:pPr>
        <w:shd w:val="clear" w:color="auto" w:fill="FFFFFF"/>
        <w:spacing w:before="75" w:after="75"/>
        <w:ind w:left="0" w:right="0"/>
        <w:jc w:val="center"/>
      </w:pPr>
      <w:r>
        <w:rPr>
          <w:rStyle w:val="5"/>
          <w:rFonts w:ascii="方正小标宋简体" w:hAnsi="方正小标宋简体" w:eastAsia="方正小标宋简体" w:cs="方正小标宋简体"/>
          <w:color w:val="333333"/>
          <w:sz w:val="44"/>
          <w:szCs w:val="44"/>
        </w:rPr>
        <w:t>晋庙</w:t>
      </w: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  <w:t>铺镇2025年政府信息公开工作</w:t>
      </w:r>
    </w:p>
    <w:p w14:paraId="4293E606">
      <w:pPr>
        <w:shd w:val="clear" w:color="auto" w:fill="FFFFFF"/>
        <w:spacing w:before="75" w:after="75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  <w:t>年度报告</w:t>
      </w:r>
    </w:p>
    <w:p w14:paraId="0147A1CF">
      <w:pPr>
        <w:shd w:val="clear" w:color="auto" w:fill="FFFFFF"/>
        <w:spacing w:before="75" w:after="75"/>
        <w:ind w:left="0" w:right="0" w:firstLine="480"/>
        <w:jc w:val="left"/>
      </w:pPr>
    </w:p>
    <w:p w14:paraId="215CD7B3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FangSong" w:hAnsi="FangSong" w:eastAsia="FangSong" w:cs="FangSong"/>
          <w:color w:val="333333"/>
          <w:sz w:val="32"/>
          <w:szCs w:val="32"/>
        </w:rPr>
        <w:t>根据《中华人民共和国政府信息公开条例》和上级有关文件要求，现向社会公布</w:t>
      </w:r>
      <w:r>
        <w:rPr>
          <w:rStyle w:val="5"/>
          <w:rFonts w:ascii="FangSong" w:hAnsi="FangSong" w:eastAsia="FangSong" w:cs="FangSong"/>
          <w:color w:val="333333"/>
          <w:sz w:val="32"/>
          <w:szCs w:val="32"/>
        </w:rPr>
        <w:t>晋庙</w:t>
      </w:r>
      <w:r>
        <w:rPr>
          <w:rFonts w:ascii="FangSong" w:hAnsi="FangSong" w:eastAsia="FangSong" w:cs="FangSong"/>
          <w:color w:val="333333"/>
          <w:sz w:val="32"/>
          <w:szCs w:val="32"/>
        </w:rPr>
        <w:t>铺镇2025年政府信息公开年度报告。</w:t>
      </w:r>
    </w:p>
    <w:p w14:paraId="3F3E58D6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SimHei" w:hAnsi="SimHei" w:eastAsia="SimHei" w:cs="SimHei"/>
          <w:color w:val="333333"/>
          <w:sz w:val="32"/>
          <w:szCs w:val="32"/>
        </w:rPr>
        <w:t>一、总体情况</w:t>
      </w:r>
    </w:p>
    <w:p w14:paraId="4AF47F15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FangSong" w:hAnsi="FangSong" w:eastAsia="FangSong" w:cs="FangSong"/>
          <w:color w:val="333333"/>
          <w:sz w:val="32"/>
          <w:szCs w:val="32"/>
        </w:rPr>
        <w:t>本年度报告根据《中华人民共和国政府信息公开条例》（国务院令第711号，以下简称《条例》）和国务院办公厅政府信息与政务公开办公室《关于政府信息公开工作年度报告有关事项的通知》（国办公开办函〔2019〕60号）的要求编制，全文包括总体情况、主动公开政府信息情况、收到和处理政府信息公开申请情况、因政府信息公开工作被申请行政复议和提起行政诉讼情况、政府信息公开工作存在的主要问题及改进情况、其他需要报告的事项。本年度报告中所列数据的统计期限自2025年1月1日起至2025年12月31日止。本年度报告的电子版可在</w:t>
      </w:r>
      <w:r>
        <w:rPr>
          <w:rStyle w:val="7"/>
          <w:rFonts w:ascii="FangSong" w:hAnsi="FangSong" w:eastAsia="FangSong" w:cs="FangSong"/>
          <w:color w:val="333333"/>
          <w:sz w:val="32"/>
          <w:szCs w:val="32"/>
        </w:rPr>
        <w:t>“</w:t>
      </w:r>
      <w:r>
        <w:rPr>
          <w:rFonts w:ascii="FangSong" w:hAnsi="FangSong" w:eastAsia="FangSong" w:cs="FangSong"/>
          <w:color w:val="333333"/>
          <w:sz w:val="32"/>
          <w:szCs w:val="32"/>
        </w:rPr>
        <w:t>泽州县人民政府门户网站</w:t>
      </w:r>
      <w:r>
        <w:rPr>
          <w:rStyle w:val="8"/>
          <w:rFonts w:ascii="FangSong" w:hAnsi="FangSong" w:eastAsia="FangSong" w:cs="FangSong"/>
          <w:color w:val="333333"/>
          <w:sz w:val="32"/>
          <w:szCs w:val="32"/>
        </w:rPr>
        <w:t>”</w:t>
      </w:r>
      <w:r>
        <w:rPr>
          <w:rFonts w:ascii="FangSong" w:hAnsi="FangSong" w:eastAsia="FangSong" w:cs="FangSong"/>
          <w:color w:val="333333"/>
          <w:sz w:val="32"/>
          <w:szCs w:val="32"/>
        </w:rPr>
        <w:t>（http：</w:t>
      </w:r>
      <w:r>
        <w:rPr>
          <w:rStyle w:val="5"/>
          <w:rFonts w:ascii="FangSong" w:hAnsi="FangSong" w:eastAsia="FangSong" w:cs="FangSong"/>
          <w:color w:val="333333"/>
          <w:sz w:val="32"/>
          <w:szCs w:val="32"/>
        </w:rPr>
        <w:t>／／</w:t>
      </w:r>
      <w:r>
        <w:rPr>
          <w:rFonts w:ascii="FangSong" w:hAnsi="FangSong" w:eastAsia="FangSong" w:cs="FangSong"/>
          <w:color w:val="333333"/>
          <w:sz w:val="32"/>
          <w:szCs w:val="32"/>
        </w:rPr>
        <w:t>www．zezhou．gov．cn／）下载。如对本年度报告有任何疑问，请与泽州县</w:t>
      </w:r>
      <w:r>
        <w:rPr>
          <w:rStyle w:val="5"/>
          <w:rFonts w:ascii="FangSong" w:hAnsi="FangSong" w:eastAsia="FangSong" w:cs="FangSong"/>
          <w:color w:val="333333"/>
          <w:sz w:val="32"/>
          <w:szCs w:val="32"/>
        </w:rPr>
        <w:t>晋庙</w:t>
      </w:r>
      <w:r>
        <w:rPr>
          <w:rFonts w:ascii="FangSong" w:hAnsi="FangSong" w:eastAsia="FangSong" w:cs="FangSong"/>
          <w:color w:val="333333"/>
          <w:sz w:val="32"/>
          <w:szCs w:val="32"/>
        </w:rPr>
        <w:t>铺镇人民政府办公室联系（地址：泽州县</w:t>
      </w:r>
      <w:r>
        <w:rPr>
          <w:rStyle w:val="5"/>
          <w:rFonts w:ascii="FangSong" w:hAnsi="FangSong" w:eastAsia="FangSong" w:cs="FangSong"/>
          <w:color w:val="333333"/>
          <w:sz w:val="32"/>
          <w:szCs w:val="32"/>
        </w:rPr>
        <w:t>晋庙</w:t>
      </w:r>
      <w:r>
        <w:rPr>
          <w:rFonts w:ascii="FangSong" w:hAnsi="FangSong" w:eastAsia="FangSong" w:cs="FangSong"/>
          <w:color w:val="333333"/>
          <w:sz w:val="32"/>
          <w:szCs w:val="32"/>
        </w:rPr>
        <w:t>铺镇</w:t>
      </w:r>
      <w:r>
        <w:rPr>
          <w:rStyle w:val="5"/>
          <w:rFonts w:ascii="FangSong" w:hAnsi="FangSong" w:eastAsia="FangSong" w:cs="FangSong"/>
          <w:color w:val="333333"/>
          <w:sz w:val="32"/>
          <w:szCs w:val="32"/>
        </w:rPr>
        <w:t>晋庙</w:t>
      </w:r>
      <w:r>
        <w:rPr>
          <w:rFonts w:ascii="FangSong" w:hAnsi="FangSong" w:eastAsia="FangSong" w:cs="FangSong"/>
          <w:color w:val="333333"/>
          <w:sz w:val="32"/>
          <w:szCs w:val="32"/>
        </w:rPr>
        <w:t>铺村公路沿线61号，电话0356－</w:t>
      </w:r>
      <w:r>
        <w:rPr>
          <w:rStyle w:val="5"/>
          <w:rFonts w:ascii="FangSong" w:hAnsi="FangSong" w:eastAsia="FangSong" w:cs="FangSong"/>
          <w:color w:val="333333"/>
          <w:sz w:val="32"/>
          <w:szCs w:val="32"/>
        </w:rPr>
        <w:t>3819012</w:t>
      </w:r>
      <w:r>
        <w:rPr>
          <w:rFonts w:ascii="FangSong" w:hAnsi="FangSong" w:eastAsia="FangSong" w:cs="FangSong"/>
          <w:color w:val="333333"/>
          <w:sz w:val="32"/>
          <w:szCs w:val="32"/>
        </w:rPr>
        <w:t>，电子邮箱：jmp888＠163．com）。</w:t>
      </w:r>
    </w:p>
    <w:p w14:paraId="20BE0D07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KaiTi" w:hAnsi="KaiTi" w:eastAsia="KaiTi" w:cs="KaiTi"/>
          <w:b/>
          <w:bCs/>
          <w:color w:val="333333"/>
          <w:sz w:val="32"/>
          <w:szCs w:val="32"/>
        </w:rPr>
        <w:t>（一）主动公开方面</w:t>
      </w:r>
    </w:p>
    <w:p w14:paraId="3CE837D5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FangSong" w:hAnsi="FangSong" w:eastAsia="FangSong" w:cs="FangSong"/>
          <w:color w:val="333333"/>
          <w:sz w:val="32"/>
          <w:szCs w:val="32"/>
        </w:rPr>
        <w:t>2025年，我镇通过网络和其他公开渠道主动公开政府信息25条，其中主要涉及民政、财政、安全等领域。</w:t>
      </w:r>
    </w:p>
    <w:p w14:paraId="22D5EE73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KaiTi" w:hAnsi="KaiTi" w:eastAsia="KaiTi" w:cs="KaiTi"/>
          <w:b/>
          <w:bCs/>
          <w:color w:val="333333"/>
          <w:sz w:val="32"/>
          <w:szCs w:val="32"/>
        </w:rPr>
        <w:t>（二）依申请公开方面</w:t>
      </w:r>
    </w:p>
    <w:p w14:paraId="5657252E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FangSong" w:hAnsi="FangSong" w:eastAsia="FangSong" w:cs="FangSong"/>
          <w:color w:val="333333"/>
          <w:sz w:val="32"/>
          <w:szCs w:val="32"/>
        </w:rPr>
        <w:t>我镇依申请公开渠道主要包括当面提交、邮件寄送、网络提交三种方式，2025年我镇通过这三种渠道未接收到依申请公开申请。</w:t>
      </w:r>
    </w:p>
    <w:p w14:paraId="2A0C1F54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KaiTi" w:hAnsi="KaiTi" w:eastAsia="KaiTi" w:cs="KaiTi"/>
          <w:b/>
          <w:bCs/>
          <w:color w:val="333333"/>
          <w:sz w:val="32"/>
          <w:szCs w:val="32"/>
        </w:rPr>
        <w:t>（三）政府信息管理方面</w:t>
      </w:r>
    </w:p>
    <w:p w14:paraId="6F5B94FA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FangSong" w:hAnsi="FangSong" w:eastAsia="FangSong" w:cs="FangSong"/>
          <w:color w:val="333333"/>
          <w:sz w:val="32"/>
          <w:szCs w:val="32"/>
        </w:rPr>
        <w:t>据上级</w:t>
      </w:r>
      <w:r>
        <w:rPr>
          <w:rStyle w:val="14"/>
          <w:rFonts w:ascii="FangSong" w:hAnsi="FangSong" w:eastAsia="FangSong" w:cs="FangSong"/>
          <w:color w:val="333333"/>
          <w:sz w:val="32"/>
          <w:szCs w:val="32"/>
        </w:rPr>
        <w:t>政府信息公开</w:t>
      </w:r>
      <w:r>
        <w:rPr>
          <w:rFonts w:ascii="FangSong" w:hAnsi="FangSong" w:eastAsia="FangSong" w:cs="FangSong"/>
          <w:color w:val="333333"/>
          <w:sz w:val="32"/>
          <w:szCs w:val="32"/>
        </w:rPr>
        <w:t>工作相关要求，并结合我镇实际工作情况，严格遵循</w:t>
      </w:r>
      <w:r>
        <w:rPr>
          <w:rStyle w:val="15"/>
          <w:rFonts w:ascii="FangSong" w:hAnsi="FangSong" w:eastAsia="FangSong" w:cs="FangSong"/>
          <w:color w:val="333333"/>
          <w:sz w:val="32"/>
          <w:szCs w:val="32"/>
        </w:rPr>
        <w:t>“</w:t>
      </w:r>
      <w:r>
        <w:rPr>
          <w:rFonts w:ascii="FangSong" w:hAnsi="FangSong" w:eastAsia="FangSong" w:cs="FangSong"/>
          <w:color w:val="333333"/>
          <w:sz w:val="32"/>
          <w:szCs w:val="32"/>
        </w:rPr>
        <w:t>先审核后发布</w:t>
      </w:r>
      <w:r>
        <w:rPr>
          <w:rStyle w:val="16"/>
          <w:rFonts w:ascii="FangSong" w:hAnsi="FangSong" w:eastAsia="FangSong" w:cs="FangSong"/>
          <w:color w:val="333333"/>
          <w:sz w:val="32"/>
          <w:szCs w:val="32"/>
        </w:rPr>
        <w:t>”</w:t>
      </w:r>
      <w:r>
        <w:rPr>
          <w:rFonts w:ascii="FangSong" w:hAnsi="FangSong" w:eastAsia="FangSong" w:cs="FangSong"/>
          <w:color w:val="333333"/>
          <w:sz w:val="32"/>
          <w:szCs w:val="32"/>
        </w:rPr>
        <w:t>的原则，对发布信息予以严格把关，全年未出现</w:t>
      </w:r>
      <w:r>
        <w:rPr>
          <w:rStyle w:val="5"/>
          <w:rFonts w:ascii="FangSong" w:hAnsi="FangSong" w:eastAsia="FangSong" w:cs="FangSong"/>
          <w:color w:val="333333"/>
          <w:sz w:val="32"/>
          <w:szCs w:val="32"/>
        </w:rPr>
        <w:t>涉敏</w:t>
      </w:r>
      <w:r>
        <w:rPr>
          <w:rFonts w:ascii="FangSong" w:hAnsi="FangSong" w:eastAsia="FangSong" w:cs="FangSong"/>
          <w:color w:val="333333"/>
          <w:sz w:val="32"/>
          <w:szCs w:val="32"/>
        </w:rPr>
        <w:t>和典型错别字情况，全面、及时、准确、规范的公开予以公开的信息。严格遵循文件发布与解读的关系，做到解读及时，解读全面，解读准确。</w:t>
      </w:r>
    </w:p>
    <w:p w14:paraId="7332D304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KaiTi" w:hAnsi="KaiTi" w:eastAsia="KaiTi" w:cs="KaiTi"/>
          <w:b/>
          <w:bCs/>
          <w:color w:val="333333"/>
          <w:sz w:val="32"/>
          <w:szCs w:val="32"/>
        </w:rPr>
        <w:t>（四）政府信息公开平台建设方面</w:t>
      </w:r>
    </w:p>
    <w:p w14:paraId="4F1CB4D2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FangSong" w:hAnsi="FangSong" w:eastAsia="FangSong" w:cs="FangSong"/>
          <w:color w:val="333333"/>
          <w:sz w:val="32"/>
          <w:szCs w:val="32"/>
        </w:rPr>
        <w:t>我镇信息公开工作由专人负责，进行日常公开内容的整理、收集、归类并及时公开上传。组织工作人员学习《中华人民共和国政府信息公开条例》等相关法律、制度和文件，不断提高政务公开信息员综合业务能力，规范政务公开形式，确保高质量实现政府信息公开。按照上级相关要求今年未调整主动公开目录，及时通过</w:t>
      </w:r>
      <w:r>
        <w:rPr>
          <w:rStyle w:val="18"/>
          <w:rFonts w:ascii="FangSong" w:hAnsi="FangSong" w:eastAsia="FangSong" w:cs="FangSong"/>
          <w:color w:val="333333"/>
          <w:sz w:val="32"/>
          <w:szCs w:val="32"/>
        </w:rPr>
        <w:t>“</w:t>
      </w:r>
      <w:r>
        <w:rPr>
          <w:rFonts w:ascii="FangSong" w:hAnsi="FangSong" w:eastAsia="FangSong" w:cs="FangSong"/>
          <w:color w:val="333333"/>
          <w:sz w:val="32"/>
          <w:szCs w:val="32"/>
        </w:rPr>
        <w:t>晋庙铺镇</w:t>
      </w:r>
      <w:r>
        <w:rPr>
          <w:rStyle w:val="19"/>
          <w:rFonts w:ascii="FangSong" w:hAnsi="FangSong" w:eastAsia="FangSong" w:cs="FangSong"/>
          <w:color w:val="333333"/>
          <w:sz w:val="32"/>
          <w:szCs w:val="32"/>
        </w:rPr>
        <w:t>”</w:t>
      </w:r>
      <w:r>
        <w:rPr>
          <w:rFonts w:ascii="FangSong" w:hAnsi="FangSong" w:eastAsia="FangSong" w:cs="FangSong"/>
          <w:color w:val="333333"/>
          <w:sz w:val="32"/>
          <w:szCs w:val="32"/>
        </w:rPr>
        <w:t>微信公众号发布人民群众关心的热点问题，焦点问题等信息，确保人民群众的知情权、监督权。</w:t>
      </w:r>
    </w:p>
    <w:p w14:paraId="5A7EC5E8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KaiTi" w:hAnsi="KaiTi" w:eastAsia="KaiTi" w:cs="KaiTi"/>
          <w:b/>
          <w:bCs/>
          <w:color w:val="333333"/>
          <w:sz w:val="32"/>
          <w:szCs w:val="32"/>
        </w:rPr>
        <w:t>（五）监督保障方面</w:t>
      </w:r>
    </w:p>
    <w:p w14:paraId="2A34CBD9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FangSong" w:hAnsi="FangSong" w:eastAsia="FangSong" w:cs="FangSong"/>
          <w:color w:val="333333"/>
          <w:sz w:val="32"/>
          <w:szCs w:val="32"/>
        </w:rPr>
        <w:t>我镇领导高度重视政务公开工作，将政务公开工作作为法治政府建设的重要内容，镇长亲自过问，并召开政务公开工作专题会议，研究部署政务公开工作。认真贯彻落实上级</w:t>
      </w:r>
      <w:r>
        <w:rPr>
          <w:rStyle w:val="5"/>
          <w:rFonts w:ascii="FangSong" w:hAnsi="FangSong" w:eastAsia="FangSong" w:cs="FangSong"/>
          <w:color w:val="333333"/>
          <w:sz w:val="32"/>
          <w:szCs w:val="32"/>
        </w:rPr>
        <w:t>安排部署</w:t>
      </w:r>
      <w:r>
        <w:rPr>
          <w:rFonts w:ascii="FangSong" w:hAnsi="FangSong" w:eastAsia="FangSong" w:cs="FangSong"/>
          <w:color w:val="333333"/>
          <w:sz w:val="32"/>
          <w:szCs w:val="32"/>
        </w:rPr>
        <w:t>的各项政务公开任务，做到应公开尽公开，做好涉密工作，使权力运行在阳光下。不定期对政务公开信息进行监督检查，发现问题及时整改。严格执行《中华人民共和国政府信息公开条例》、《山西省政府信息公开规定》和我市相关要求，建立</w:t>
      </w:r>
      <w:r>
        <w:rPr>
          <w:rStyle w:val="21"/>
          <w:rFonts w:ascii="FangSong" w:hAnsi="FangSong" w:eastAsia="FangSong" w:cs="FangSong"/>
          <w:color w:val="333333"/>
          <w:sz w:val="32"/>
          <w:szCs w:val="32"/>
        </w:rPr>
        <w:t>“</w:t>
      </w:r>
      <w:r>
        <w:rPr>
          <w:rFonts w:ascii="FangSong" w:hAnsi="FangSong" w:eastAsia="FangSong" w:cs="FangSong"/>
          <w:color w:val="333333"/>
          <w:sz w:val="32"/>
          <w:szCs w:val="32"/>
        </w:rPr>
        <w:t>谁用权，谁公开，谁负责</w:t>
      </w:r>
      <w:r>
        <w:rPr>
          <w:rStyle w:val="22"/>
          <w:rFonts w:ascii="FangSong" w:hAnsi="FangSong" w:eastAsia="FangSong" w:cs="FangSong"/>
          <w:color w:val="333333"/>
          <w:sz w:val="32"/>
          <w:szCs w:val="32"/>
        </w:rPr>
        <w:t>”</w:t>
      </w:r>
      <w:r>
        <w:rPr>
          <w:rFonts w:ascii="FangSong" w:hAnsi="FangSong" w:eastAsia="FangSong" w:cs="FangSong"/>
          <w:color w:val="333333"/>
          <w:sz w:val="32"/>
          <w:szCs w:val="32"/>
        </w:rPr>
        <w:t>的责任机制和政务信息源提供机制，确保发布的信息具备真实性、时效性与权威性。通过制度建设的完善，保证了政府信息公开走上规范化、标准化的轨道。</w:t>
      </w:r>
    </w:p>
    <w:p w14:paraId="7C1706DB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SimHei" w:hAnsi="SimHei" w:eastAsia="SimHei" w:cs="SimHei"/>
          <w:color w:val="333333"/>
          <w:sz w:val="32"/>
          <w:szCs w:val="32"/>
        </w:rPr>
        <w:t>二、主动公开政府信息情况</w:t>
      </w:r>
    </w:p>
    <w:tbl>
      <w:tblPr>
        <w:tblStyle w:val="24"/>
        <w:tblW w:w="0" w:type="auto"/>
        <w:tblCellSpacing w:w="15" w:type="dxa"/>
        <w:tblInd w:w="2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0"/>
        <w:gridCol w:w="2175"/>
        <w:gridCol w:w="2175"/>
        <w:gridCol w:w="2190"/>
      </w:tblGrid>
      <w:tr w14:paraId="604F4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776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C6D9F1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D7ACC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第二十条第（一）项</w:t>
            </w:r>
          </w:p>
        </w:tc>
      </w:tr>
      <w:tr w14:paraId="7A061B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E116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42E33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本年制发件数</w:t>
            </w:r>
          </w:p>
        </w:tc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9382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本年废止件数</w:t>
            </w:r>
          </w:p>
        </w:tc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219DE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现行有效件数</w:t>
            </w:r>
          </w:p>
        </w:tc>
      </w:tr>
      <w:tr w14:paraId="3A83F3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2CEC5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规章</w:t>
            </w:r>
          </w:p>
        </w:tc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36007">
            <w:pPr>
              <w:spacing w:before="0" w:after="0"/>
              <w:ind w:left="0" w:right="0" w:firstLine="480"/>
              <w:jc w:val="left"/>
            </w:pPr>
          </w:p>
        </w:tc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54980">
            <w:pPr>
              <w:spacing w:before="0" w:after="0"/>
              <w:ind w:left="0" w:right="0" w:firstLine="480"/>
              <w:jc w:val="left"/>
            </w:pPr>
          </w:p>
        </w:tc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0D496">
            <w:pPr>
              <w:spacing w:before="0" w:after="0"/>
              <w:ind w:left="0" w:right="0" w:firstLine="480"/>
              <w:jc w:val="left"/>
            </w:pPr>
          </w:p>
        </w:tc>
      </w:tr>
      <w:tr w14:paraId="7CE5D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AF34D">
            <w:pPr>
              <w:pStyle w:val="23"/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行政规范性文件</w:t>
            </w:r>
          </w:p>
        </w:tc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FB104">
            <w:pPr>
              <w:spacing w:before="0" w:after="0"/>
              <w:ind w:left="0" w:right="0" w:firstLine="480"/>
              <w:jc w:val="left"/>
            </w:pPr>
          </w:p>
        </w:tc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0F801">
            <w:pPr>
              <w:spacing w:before="0" w:after="0"/>
              <w:ind w:left="0" w:right="0" w:firstLine="480"/>
              <w:jc w:val="left"/>
            </w:pPr>
          </w:p>
        </w:tc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2FF6B">
            <w:pPr>
              <w:spacing w:before="0" w:after="0"/>
              <w:ind w:left="0" w:right="0" w:firstLine="480"/>
              <w:jc w:val="left"/>
            </w:pPr>
          </w:p>
        </w:tc>
      </w:tr>
      <w:tr w14:paraId="0944BA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776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C6D9F1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410A2">
            <w:pPr>
              <w:pStyle w:val="23"/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第二十条第（五）项</w:t>
            </w:r>
          </w:p>
        </w:tc>
      </w:tr>
      <w:tr w14:paraId="742CAA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F3CB0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7346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9FEE1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本年处理决定数量</w:t>
            </w:r>
          </w:p>
        </w:tc>
      </w:tr>
      <w:tr w14:paraId="1F818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DB988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行政许可</w:t>
            </w:r>
          </w:p>
        </w:tc>
        <w:tc>
          <w:tcPr>
            <w:tcW w:w="7346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B3B24">
            <w:pPr>
              <w:spacing w:before="0" w:after="0"/>
              <w:ind w:left="0" w:right="0" w:firstLine="480"/>
              <w:jc w:val="left"/>
            </w:pPr>
          </w:p>
        </w:tc>
      </w:tr>
      <w:tr w14:paraId="3E78B7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776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C6D9F1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59AD8">
            <w:pPr>
              <w:pStyle w:val="23"/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第二十条第（六）项</w:t>
            </w:r>
          </w:p>
        </w:tc>
      </w:tr>
      <w:tr w14:paraId="34B424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A3325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7346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EFC98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本年处理决定数量</w:t>
            </w:r>
          </w:p>
        </w:tc>
      </w:tr>
      <w:tr w14:paraId="55C7B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7CAC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行政处罚</w:t>
            </w:r>
          </w:p>
        </w:tc>
        <w:tc>
          <w:tcPr>
            <w:tcW w:w="7346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3E689">
            <w:pPr>
              <w:spacing w:before="0" w:after="0"/>
              <w:ind w:left="0" w:right="0" w:firstLine="480"/>
              <w:jc w:val="left"/>
            </w:pPr>
          </w:p>
        </w:tc>
      </w:tr>
      <w:tr w14:paraId="524DED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65E88">
            <w:pPr>
              <w:pStyle w:val="23"/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行政强制</w:t>
            </w:r>
          </w:p>
        </w:tc>
        <w:tc>
          <w:tcPr>
            <w:tcW w:w="7346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C4FDF">
            <w:pPr>
              <w:spacing w:before="0" w:after="0"/>
              <w:ind w:left="0" w:right="0" w:firstLine="480"/>
              <w:jc w:val="left"/>
            </w:pPr>
          </w:p>
        </w:tc>
      </w:tr>
      <w:tr w14:paraId="7DB05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776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C6D9F1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26DBD">
            <w:pPr>
              <w:pStyle w:val="23"/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第二十条第（八）项</w:t>
            </w:r>
          </w:p>
        </w:tc>
      </w:tr>
      <w:tr w14:paraId="66CD87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DBF15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7346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32F3E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本年收费金额（单位：万元）</w:t>
            </w:r>
          </w:p>
        </w:tc>
      </w:tr>
      <w:tr w14:paraId="2B81E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87B0A">
            <w:pPr>
              <w:spacing w:before="75" w:after="75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行政事业性收费</w:t>
            </w:r>
          </w:p>
        </w:tc>
        <w:tc>
          <w:tcPr>
            <w:tcW w:w="7346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8AE7F">
            <w:pPr>
              <w:spacing w:before="0" w:after="0"/>
              <w:ind w:left="0" w:right="0" w:firstLine="480"/>
              <w:jc w:val="left"/>
            </w:pPr>
          </w:p>
        </w:tc>
      </w:tr>
    </w:tbl>
    <w:p w14:paraId="6CE1612F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宋体" w:hAnsi="宋体" w:eastAsia="宋体" w:cs="宋体"/>
          <w:color w:val="333333"/>
          <w:sz w:val="24"/>
          <w:szCs w:val="24"/>
        </w:rPr>
        <w:t>三、收到和处理政府信息公开申请情况</w:t>
      </w:r>
    </w:p>
    <w:tbl>
      <w:tblPr>
        <w:tblStyle w:val="24"/>
        <w:tblW w:w="0" w:type="auto"/>
        <w:tblCellSpacing w:w="15" w:type="dxa"/>
        <w:tblInd w:w="2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5"/>
        <w:gridCol w:w="1220"/>
        <w:gridCol w:w="846"/>
        <w:gridCol w:w="847"/>
        <w:gridCol w:w="756"/>
        <w:gridCol w:w="756"/>
        <w:gridCol w:w="768"/>
        <w:gridCol w:w="800"/>
        <w:gridCol w:w="747"/>
        <w:gridCol w:w="995"/>
      </w:tblGrid>
      <w:tr w14:paraId="351423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06" w:type="dxa"/>
            <w:gridSpan w:val="3"/>
            <w:vMerge w:val="restart"/>
            <w:tcBorders>
              <w:top w:val="single" w:color="333333" w:sz="4" w:space="0"/>
              <w:left w:val="single" w:color="333333" w:sz="4" w:space="0"/>
              <w:bottom w:val="nil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64E7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（本列数据的勾稽关系为：第一项加第二项之和，等于第三项加第四项之和）</w:t>
            </w:r>
          </w:p>
          <w:p w14:paraId="3D1DC00F">
            <w:pPr>
              <w:spacing w:before="0" w:after="20"/>
              <w:ind w:left="0" w:right="0"/>
              <w:jc w:val="left"/>
            </w:pPr>
          </w:p>
          <w:p w14:paraId="009D67C8">
            <w:pPr>
              <w:spacing w:before="0" w:after="20"/>
              <w:jc w:val="left"/>
            </w:pPr>
          </w:p>
        </w:tc>
        <w:tc>
          <w:tcPr>
            <w:tcW w:w="5951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B3A97">
            <w:pPr>
              <w:pStyle w:val="23"/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申请人情况</w:t>
            </w:r>
          </w:p>
        </w:tc>
      </w:tr>
      <w:tr w14:paraId="0B71DB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3"/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03233E10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56" w:type="dxa"/>
            <w:vMerge w:val="restart"/>
            <w:tcBorders>
              <w:top w:val="single" w:color="333333" w:sz="4" w:space="0"/>
              <w:left w:val="single" w:color="333333" w:sz="4" w:space="0"/>
              <w:bottom w:val="nil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48BE5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自</w:t>
            </w:r>
          </w:p>
          <w:p w14:paraId="7A6981AB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然</w:t>
            </w:r>
          </w:p>
          <w:p w14:paraId="20F1FB9B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人</w:t>
            </w:r>
          </w:p>
          <w:p w14:paraId="3D83BB3D">
            <w:pPr>
              <w:spacing w:before="0" w:after="20"/>
              <w:ind w:left="0" w:right="0"/>
              <w:jc w:val="left"/>
            </w:pPr>
          </w:p>
        </w:tc>
        <w:tc>
          <w:tcPr>
            <w:tcW w:w="4046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994A4">
            <w:pPr>
              <w:pStyle w:val="23"/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法人或其他组织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CC7A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总，</w:t>
            </w:r>
          </w:p>
          <w:p w14:paraId="3C699AE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计</w:t>
            </w:r>
          </w:p>
        </w:tc>
      </w:tr>
      <w:tr w14:paraId="0B686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3"/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 w14:paraId="544A0EA5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 w14:paraId="7CC1A0C7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4E65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商</w:t>
            </w:r>
          </w:p>
          <w:p w14:paraId="1F810CB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业</w:t>
            </w:r>
          </w:p>
          <w:p w14:paraId="4326E67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企</w:t>
            </w:r>
          </w:p>
          <w:p w14:paraId="0987683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业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27AA5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科</w:t>
            </w:r>
          </w:p>
          <w:p w14:paraId="3601880A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研</w:t>
            </w:r>
          </w:p>
          <w:p w14:paraId="50FA58E8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机</w:t>
            </w:r>
          </w:p>
          <w:p w14:paraId="46F56570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构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73ED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社</w:t>
            </w:r>
          </w:p>
          <w:p w14:paraId="1D518011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会</w:t>
            </w:r>
          </w:p>
          <w:p w14:paraId="4894E66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公</w:t>
            </w:r>
          </w:p>
          <w:p w14:paraId="59160F9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益</w:t>
            </w:r>
          </w:p>
          <w:p w14:paraId="27909E7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组</w:t>
            </w:r>
          </w:p>
          <w:p w14:paraId="293F008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织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D04A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法</w:t>
            </w:r>
          </w:p>
          <w:p w14:paraId="1A20E1E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律</w:t>
            </w:r>
          </w:p>
          <w:p w14:paraId="6993F55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服</w:t>
            </w:r>
          </w:p>
          <w:p w14:paraId="0922642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务</w:t>
            </w:r>
          </w:p>
          <w:p w14:paraId="2A6C57B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机</w:t>
            </w:r>
          </w:p>
          <w:p w14:paraId="011DA02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构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F8393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其</w:t>
            </w:r>
          </w:p>
          <w:p w14:paraId="2BBF4B15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他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27DB9"/>
        </w:tc>
      </w:tr>
      <w:tr w14:paraId="685C71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06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AF4A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DDDF5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D6418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83DE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276EA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2B570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FCDB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6B385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7692BB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06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FEC8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20E53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1671E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8479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4ADF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551FE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849A5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77F31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601286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56" w:type="dxa"/>
            <w:vMerge w:val="restart"/>
            <w:tcBorders>
              <w:top w:val="single" w:color="333333" w:sz="4" w:space="0"/>
              <w:left w:val="single" w:color="333333" w:sz="4" w:space="0"/>
              <w:bottom w:val="nil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D0AB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三、本年度办理结果</w:t>
            </w:r>
          </w:p>
          <w:p w14:paraId="0D38C924">
            <w:pPr>
              <w:spacing w:before="0" w:after="20"/>
              <w:ind w:left="0" w:right="0"/>
              <w:jc w:val="left"/>
            </w:pPr>
          </w:p>
          <w:p w14:paraId="49E5B315">
            <w:pPr>
              <w:spacing w:before="0" w:after="20"/>
              <w:jc w:val="left"/>
            </w:pPr>
          </w:p>
          <w:p w14:paraId="7741CF5C">
            <w:pPr>
              <w:spacing w:before="0" w:after="20"/>
              <w:jc w:val="left"/>
            </w:pPr>
          </w:p>
          <w:p w14:paraId="055A75D3">
            <w:pPr>
              <w:spacing w:before="0" w:after="20"/>
              <w:jc w:val="left"/>
            </w:pPr>
          </w:p>
          <w:p w14:paraId="4EAD3AC0">
            <w:pPr>
              <w:spacing w:before="0" w:after="20"/>
              <w:jc w:val="left"/>
            </w:pPr>
          </w:p>
          <w:p w14:paraId="69F5AA70">
            <w:pPr>
              <w:spacing w:before="0" w:after="20"/>
              <w:jc w:val="left"/>
            </w:pPr>
          </w:p>
          <w:p w14:paraId="357ACA7E">
            <w:pPr>
              <w:spacing w:before="0" w:after="20"/>
              <w:jc w:val="left"/>
            </w:pPr>
          </w:p>
          <w:p w14:paraId="6589ADFF">
            <w:pPr>
              <w:spacing w:before="0" w:after="20"/>
              <w:jc w:val="left"/>
            </w:pPr>
          </w:p>
          <w:p w14:paraId="6AFBC510">
            <w:pPr>
              <w:spacing w:before="0" w:after="20"/>
              <w:jc w:val="left"/>
            </w:pPr>
          </w:p>
          <w:p w14:paraId="08EB1276">
            <w:pPr>
              <w:spacing w:before="0" w:after="20"/>
              <w:jc w:val="left"/>
            </w:pPr>
          </w:p>
          <w:p w14:paraId="2CB682A1">
            <w:pPr>
              <w:spacing w:before="0" w:after="20"/>
              <w:jc w:val="left"/>
            </w:pPr>
          </w:p>
          <w:p w14:paraId="23472897">
            <w:pPr>
              <w:spacing w:before="0" w:after="20"/>
              <w:jc w:val="left"/>
            </w:pPr>
          </w:p>
          <w:p w14:paraId="68E681F4">
            <w:pPr>
              <w:spacing w:before="0" w:after="20"/>
              <w:jc w:val="left"/>
            </w:pPr>
          </w:p>
          <w:p w14:paraId="3A6C3F91">
            <w:pPr>
              <w:spacing w:before="0" w:after="20"/>
              <w:jc w:val="left"/>
            </w:pPr>
          </w:p>
          <w:p w14:paraId="7F2F13AB">
            <w:pPr>
              <w:spacing w:before="0" w:after="20"/>
              <w:jc w:val="left"/>
            </w:pPr>
          </w:p>
          <w:p w14:paraId="0BFBBFC1">
            <w:pPr>
              <w:spacing w:before="0" w:after="20"/>
              <w:jc w:val="left"/>
            </w:pPr>
          </w:p>
          <w:p w14:paraId="7667EF95">
            <w:pPr>
              <w:spacing w:before="0" w:after="20"/>
              <w:jc w:val="left"/>
            </w:pPr>
          </w:p>
          <w:p w14:paraId="0C9DF39B">
            <w:pPr>
              <w:spacing w:before="0" w:after="20"/>
              <w:jc w:val="left"/>
            </w:pPr>
          </w:p>
          <w:p w14:paraId="27D3DA2A">
            <w:pPr>
              <w:spacing w:before="0" w:after="20"/>
              <w:jc w:val="left"/>
            </w:pPr>
          </w:p>
          <w:p w14:paraId="1A92417C">
            <w:pPr>
              <w:spacing w:before="0" w:after="20"/>
              <w:jc w:val="left"/>
            </w:pPr>
          </w:p>
          <w:p w14:paraId="3F532D59">
            <w:pPr>
              <w:spacing w:before="0" w:after="20"/>
              <w:jc w:val="left"/>
            </w:pPr>
          </w:p>
        </w:tc>
        <w:tc>
          <w:tcPr>
            <w:tcW w:w="259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B632B">
            <w:pPr>
              <w:pStyle w:val="23"/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（一）予以公开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AEA8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9466B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E00F1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EEEDA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B806B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0E10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88DB4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5B423D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7C9187F3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82A8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CC6F4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9BEC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780D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9F27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687C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71E03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38B50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0974BA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556CFD91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single" w:color="333333" w:sz="4" w:space="0"/>
              <w:left w:val="single" w:color="333333" w:sz="4" w:space="0"/>
              <w:bottom w:val="nil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62658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（三）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CE69A4"/>
                <w:sz w:val="24"/>
                <w:szCs w:val="24"/>
                <w:u w:val="single" w:color="CE69A4"/>
              </w:rPr>
              <w:t>不予公开</w:t>
            </w:r>
            <w:r>
              <w:rPr>
                <w:rStyle w:val="26"/>
                <w:rFonts w:ascii="宋体" w:hAnsi="宋体" w:eastAsia="宋体" w:cs="宋体"/>
                <w:color w:val="CE69A4"/>
                <w:sz w:val="24"/>
                <w:szCs w:val="24"/>
                <w:u w:val="single" w:color="CE69A4"/>
              </w:rPr>
              <w:t>（敏感字）</w:t>
            </w:r>
          </w:p>
          <w:p w14:paraId="5B40F3CF">
            <w:pPr>
              <w:spacing w:before="0" w:after="20"/>
              <w:ind w:left="0" w:right="0"/>
              <w:jc w:val="left"/>
            </w:pPr>
          </w:p>
          <w:p w14:paraId="15186E8D">
            <w:pPr>
              <w:spacing w:before="0" w:after="20"/>
              <w:jc w:val="left"/>
            </w:pPr>
          </w:p>
          <w:p w14:paraId="3657ADD8">
            <w:pPr>
              <w:spacing w:before="0" w:after="20"/>
              <w:jc w:val="left"/>
            </w:pPr>
          </w:p>
          <w:p w14:paraId="094383C2">
            <w:pPr>
              <w:spacing w:before="0" w:after="20"/>
              <w:jc w:val="left"/>
            </w:pPr>
          </w:p>
          <w:p w14:paraId="7550906C">
            <w:pPr>
              <w:spacing w:before="0" w:after="20"/>
              <w:jc w:val="left"/>
            </w:pPr>
          </w:p>
          <w:p w14:paraId="54221030">
            <w:pPr>
              <w:spacing w:before="0" w:after="20"/>
              <w:jc w:val="left"/>
            </w:pPr>
          </w:p>
          <w:p w14:paraId="3C21F370">
            <w:pPr>
              <w:spacing w:before="0" w:after="20"/>
              <w:jc w:val="left"/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7B945">
            <w:pPr>
              <w:pStyle w:val="23"/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1．属于国家秘密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9F43E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80874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A7D6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51CF0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A41B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D584B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3D581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5A0F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52117DBE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0A7ECB35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8B33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2．其他法律行政法规禁止公开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419E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47B5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ECE0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8432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1C89A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336CB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AC544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6366E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76C0DB3F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51554491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CD3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3．危及</w:t>
            </w:r>
            <w:r>
              <w:rPr>
                <w:rStyle w:val="27"/>
                <w:rFonts w:ascii="宋体" w:hAnsi="宋体" w:eastAsia="宋体" w:cs="宋体"/>
                <w:color w:val="333333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三安全一稳定</w:t>
            </w:r>
            <w:r>
              <w:rPr>
                <w:rStyle w:val="28"/>
                <w:rFonts w:ascii="宋体" w:hAnsi="宋体" w:eastAsia="宋体" w:cs="宋体"/>
                <w:color w:val="333333"/>
                <w:sz w:val="24"/>
                <w:szCs w:val="24"/>
              </w:rPr>
              <w:t>”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A9F3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5EB0E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F271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BF5B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0F81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F0AE0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5A831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7DFD80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0096F998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60145B36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702DC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4．保护第三方合法权益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E4B4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578CA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9FBB8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69B81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FDCB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4D4C5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FDF7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743F7F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6E47E426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1C8C78C4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14C8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5．属于三类内部事务信息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D48E0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65A63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63E03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A33D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539DC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E1FD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F47B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58B02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2D216030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0AF3E535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0ABF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6．属于四类过程性信息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D58BC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143CA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BF5B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8FD9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FAA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0B12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E4750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6D359D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49D2FAC7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6A1A41A5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7C58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7．属于行政执法案卷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4856E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DA8FC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2544C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55A6E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1F11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549BE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C01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2A3FCF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07A2397A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 w14:paraId="2F4396E5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A7168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8．属于行政查询事项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DDFA0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21474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7D3EE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A6E2B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113E1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8F37A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8D3F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298EA6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787F602B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single" w:color="333333" w:sz="4" w:space="0"/>
              <w:left w:val="single" w:color="333333" w:sz="4" w:space="0"/>
              <w:bottom w:val="nil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2EBC0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（四）无法提供</w:t>
            </w:r>
          </w:p>
          <w:p w14:paraId="1B17B9A4">
            <w:pPr>
              <w:spacing w:before="0" w:after="20"/>
              <w:ind w:left="0" w:right="0"/>
              <w:jc w:val="left"/>
            </w:pPr>
          </w:p>
          <w:p w14:paraId="10FA8198">
            <w:pPr>
              <w:spacing w:before="0" w:after="20"/>
              <w:jc w:val="left"/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3CCA6">
            <w:pPr>
              <w:pStyle w:val="23"/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1．本机关不掌握相关政府信息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CCE33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03524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2379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01BA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E9B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AAAC4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AA88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16EC96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4FE170D2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6B45CB71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0B09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2．没有现成信息需要另行制作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198CE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4A57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D0318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D98A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A852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4EC83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EB40B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50B084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7BB1C387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 w14:paraId="496DC745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E027C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3．补正后申请内容仍不明确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260F4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5B94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BCC1B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48CB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9057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7589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B07BA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41E999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41622DFD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single" w:color="333333" w:sz="4" w:space="0"/>
              <w:left w:val="single" w:color="333333" w:sz="4" w:space="0"/>
              <w:bottom w:val="nil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A1653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（五）不予处理</w:t>
            </w:r>
          </w:p>
          <w:p w14:paraId="0504DE26">
            <w:pPr>
              <w:spacing w:before="0" w:after="20"/>
              <w:ind w:left="0" w:right="0"/>
              <w:jc w:val="left"/>
            </w:pPr>
          </w:p>
          <w:p w14:paraId="4B92DB60">
            <w:pPr>
              <w:spacing w:before="0" w:after="20"/>
              <w:jc w:val="left"/>
            </w:pPr>
          </w:p>
          <w:p w14:paraId="4D805E15">
            <w:pPr>
              <w:spacing w:before="0" w:after="20"/>
              <w:jc w:val="left"/>
            </w:pPr>
          </w:p>
          <w:p w14:paraId="572C7A7A">
            <w:pPr>
              <w:spacing w:before="0" w:after="20"/>
              <w:jc w:val="left"/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519B0">
            <w:pPr>
              <w:pStyle w:val="23"/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1．信访举报投诉类申请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EBDF1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07D40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5692B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0F69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77B83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09F0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B95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5C941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4A7CB5A0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217B987F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1A54C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2．重复申请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B2EEC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14A8C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1B55A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966A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FC0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A51A8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A3D6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4BE0A2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6840B0F7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59687FC2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A688E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3．要求提供公开出版物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D978E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66C5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30014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59773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5D33C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F089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50D7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53922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2A512E6A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54843413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29C38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4．无正当理由大量反复申请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AFBE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8CB5A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50795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2F6D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BCE85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85821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5735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4F7A52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2BEC37F2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 w14:paraId="53EC01E0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82C7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5．要求行政机关确认或重新出具已获取信息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EEAA8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F87A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81D8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FA3EE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26D5B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0CCD0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2A50A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6142FD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3BCC9B30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single" w:color="333333" w:sz="4" w:space="0"/>
              <w:left w:val="single" w:color="333333" w:sz="4" w:space="0"/>
              <w:bottom w:val="nil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04A6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（六）其他处理</w:t>
            </w:r>
          </w:p>
          <w:p w14:paraId="6D5E4AE3">
            <w:pPr>
              <w:spacing w:before="0" w:after="20"/>
              <w:ind w:left="0" w:right="0"/>
              <w:jc w:val="left"/>
            </w:pPr>
          </w:p>
          <w:p w14:paraId="312A9F7A">
            <w:pPr>
              <w:spacing w:before="0" w:after="20"/>
              <w:jc w:val="left"/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85569">
            <w:pPr>
              <w:pStyle w:val="23"/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1．申请人无正当理由逾期不补正、行政机关不再处理其政府信息公开申请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3D211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CC30B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39E9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0E6C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511D8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9F3F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C390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53DE65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2A180A3D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402256B6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2B38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2．申请人逾期未按收费通知要求缴纳费用、行政机关不再处理其政府信息公开申请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FC80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2612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F360A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D27D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55EF8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E930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80FF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16975B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right w:val="single" w:color="333333" w:sz="4" w:space="0"/>
            </w:tcBorders>
            <w:vAlign w:val="center"/>
          </w:tcPr>
          <w:p w14:paraId="487FA47A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 w14:paraId="6D41E61F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F592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3．其他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FF2B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A8DB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27A0A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E89A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27B34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73C2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ECAD5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3B001A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 w14:paraId="4F1D106F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EAA4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（七）总计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CB4F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6064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19E51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9A3E8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633C5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70C5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8A0B1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 w14:paraId="3773C0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06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6751E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四、结转下年度继续办理</w:t>
            </w:r>
          </w:p>
        </w:tc>
        <w:tc>
          <w:tcPr>
            <w:tcW w:w="12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6E4A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E77E8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04A18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993FB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AF413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492A1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C44D4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</w:tbl>
    <w:p w14:paraId="7EC2E1D7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SimHei" w:hAnsi="SimHei" w:eastAsia="SimHei" w:cs="SimHei"/>
          <w:color w:val="333333"/>
          <w:sz w:val="32"/>
          <w:szCs w:val="32"/>
        </w:rPr>
        <w:t>四、政府信息公开行政复议、行政诉讼情况</w:t>
      </w:r>
    </w:p>
    <w:tbl>
      <w:tblPr>
        <w:tblStyle w:val="24"/>
        <w:tblW w:w="8944" w:type="dxa"/>
        <w:tblInd w:w="26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643"/>
      </w:tblGrid>
      <w:tr w14:paraId="7D67C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8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041B5D14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行政复议</w:t>
            </w:r>
          </w:p>
        </w:tc>
        <w:tc>
          <w:tcPr>
            <w:tcW w:w="6079" w:type="dxa"/>
            <w:gridSpan w:val="10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1D84063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行政诉讼</w:t>
            </w:r>
          </w:p>
        </w:tc>
      </w:tr>
      <w:tr w14:paraId="2E4BD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4" w:type="dxa"/>
            <w:vMerge w:val="restart"/>
            <w:tcBorders>
              <w:top w:val="single" w:color="333333" w:sz="4" w:space="0"/>
              <w:left w:val="single" w:color="333333" w:sz="4" w:space="0"/>
              <w:bottom w:val="nil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6B513309">
            <w:pPr>
              <w:spacing w:before="75" w:after="75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结果维持</w:t>
            </w:r>
          </w:p>
          <w:p w14:paraId="5A9B2E78">
            <w:pPr>
              <w:spacing w:before="0" w:after="20"/>
              <w:ind w:left="0" w:right="0"/>
              <w:jc w:val="left"/>
            </w:pPr>
          </w:p>
        </w:tc>
        <w:tc>
          <w:tcPr>
            <w:tcW w:w="624" w:type="dxa"/>
            <w:vMerge w:val="restart"/>
            <w:tcBorders>
              <w:top w:val="single" w:color="333333" w:sz="4" w:space="0"/>
              <w:left w:val="single" w:color="333333" w:sz="4" w:space="0"/>
              <w:bottom w:val="nil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6742BE75">
            <w:pPr>
              <w:pStyle w:val="23"/>
              <w:spacing w:before="75" w:after="75"/>
              <w:ind w:right="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结果纠正</w:t>
            </w:r>
          </w:p>
          <w:p w14:paraId="4E8B882E">
            <w:pPr>
              <w:spacing w:before="0" w:after="20"/>
              <w:ind w:left="0" w:right="0"/>
              <w:jc w:val="left"/>
            </w:pPr>
          </w:p>
        </w:tc>
        <w:tc>
          <w:tcPr>
            <w:tcW w:w="624" w:type="dxa"/>
            <w:vMerge w:val="restart"/>
            <w:tcBorders>
              <w:top w:val="single" w:color="333333" w:sz="4" w:space="0"/>
              <w:left w:val="single" w:color="333333" w:sz="4" w:space="0"/>
              <w:bottom w:val="nil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6CBE6F62">
            <w:pPr>
              <w:pStyle w:val="23"/>
              <w:spacing w:before="75" w:after="75"/>
              <w:ind w:right="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其他结果</w:t>
            </w:r>
          </w:p>
          <w:p w14:paraId="012A8753">
            <w:pPr>
              <w:spacing w:before="0" w:after="20"/>
              <w:ind w:left="0" w:right="0"/>
              <w:jc w:val="left"/>
            </w:pPr>
          </w:p>
        </w:tc>
        <w:tc>
          <w:tcPr>
            <w:tcW w:w="624" w:type="dxa"/>
            <w:vMerge w:val="restart"/>
            <w:tcBorders>
              <w:top w:val="single" w:color="333333" w:sz="4" w:space="0"/>
              <w:left w:val="single" w:color="333333" w:sz="4" w:space="0"/>
              <w:bottom w:val="nil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0913B412">
            <w:pPr>
              <w:pStyle w:val="23"/>
              <w:spacing w:before="75" w:after="75"/>
              <w:ind w:right="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尚未审结</w:t>
            </w:r>
          </w:p>
          <w:p w14:paraId="3D033ECA">
            <w:pPr>
              <w:spacing w:before="0" w:after="20"/>
              <w:ind w:left="0" w:right="0"/>
              <w:jc w:val="left"/>
            </w:pPr>
          </w:p>
        </w:tc>
        <w:tc>
          <w:tcPr>
            <w:tcW w:w="626" w:type="dxa"/>
            <w:vMerge w:val="restart"/>
            <w:tcBorders>
              <w:top w:val="single" w:color="333333" w:sz="4" w:space="0"/>
              <w:left w:val="single" w:color="333333" w:sz="4" w:space="0"/>
              <w:bottom w:val="nil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4BE6E4AA">
            <w:pPr>
              <w:pStyle w:val="23"/>
              <w:spacing w:before="75" w:after="75"/>
              <w:ind w:right="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总</w:t>
            </w:r>
          </w:p>
          <w:p w14:paraId="6FE487AC">
            <w:pPr>
              <w:spacing w:before="75" w:after="75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计</w:t>
            </w:r>
          </w:p>
          <w:p w14:paraId="6C74CB8C">
            <w:pPr>
              <w:spacing w:before="0" w:after="20"/>
              <w:ind w:left="0" w:right="0"/>
              <w:jc w:val="left"/>
            </w:pPr>
          </w:p>
        </w:tc>
        <w:tc>
          <w:tcPr>
            <w:tcW w:w="2962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09D312BD">
            <w:pPr>
              <w:pStyle w:val="23"/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未经复议直接起诉</w:t>
            </w:r>
          </w:p>
        </w:tc>
        <w:tc>
          <w:tcPr>
            <w:tcW w:w="3158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5DC8B8E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复议后起诉</w:t>
            </w:r>
          </w:p>
        </w:tc>
      </w:tr>
      <w:tr w14:paraId="751D5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 w14:paraId="16F3BEFF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 w14:paraId="22FE0F49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 w14:paraId="0C4E2267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 w14:paraId="38AC1E61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 w14:paraId="121652F1"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5EF5D16A">
            <w:pPr>
              <w:spacing w:before="75" w:after="75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结果维持</w:t>
            </w:r>
          </w:p>
        </w:tc>
        <w:tc>
          <w:tcPr>
            <w:tcW w:w="6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5B34B32D">
            <w:pPr>
              <w:spacing w:before="75" w:after="75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结果纠正</w:t>
            </w:r>
          </w:p>
        </w:tc>
        <w:tc>
          <w:tcPr>
            <w:tcW w:w="6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765EB0CA">
            <w:pPr>
              <w:spacing w:before="75" w:after="75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其他结果</w:t>
            </w:r>
          </w:p>
        </w:tc>
        <w:tc>
          <w:tcPr>
            <w:tcW w:w="6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38F6751E">
            <w:pPr>
              <w:spacing w:before="75" w:after="75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尚未审结</w:t>
            </w:r>
          </w:p>
        </w:tc>
        <w:tc>
          <w:tcPr>
            <w:tcW w:w="62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12C54EC2">
            <w:pPr>
              <w:spacing w:before="75" w:after="75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总计</w:t>
            </w:r>
          </w:p>
        </w:tc>
        <w:tc>
          <w:tcPr>
            <w:tcW w:w="6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1088CEF3">
            <w:pPr>
              <w:spacing w:before="75" w:after="75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结果维持</w:t>
            </w:r>
          </w:p>
        </w:tc>
        <w:tc>
          <w:tcPr>
            <w:tcW w:w="6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7F65F4B1">
            <w:pPr>
              <w:spacing w:before="75" w:after="75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结果纠正</w:t>
            </w:r>
          </w:p>
        </w:tc>
        <w:tc>
          <w:tcPr>
            <w:tcW w:w="6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50EB73F3">
            <w:pPr>
              <w:spacing w:before="75" w:after="75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其他结果</w:t>
            </w:r>
          </w:p>
        </w:tc>
        <w:tc>
          <w:tcPr>
            <w:tcW w:w="6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7F2DA24C">
            <w:pPr>
              <w:spacing w:before="75" w:after="75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尚未审结</w:t>
            </w:r>
          </w:p>
        </w:tc>
        <w:tc>
          <w:tcPr>
            <w:tcW w:w="82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1C870C08">
            <w:pPr>
              <w:spacing w:before="75" w:after="75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总计</w:t>
            </w:r>
          </w:p>
        </w:tc>
      </w:tr>
      <w:tr w14:paraId="46C1B4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1CB9A81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143AD9A5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7ABA8688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4011D4FD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17A9349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3DEE15F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0D9851A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6E0505F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6E4F5137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4FB36096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0A0F9A60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3887C7F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51D45819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7784AE8F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tcMar>
              <w:top w:w="15" w:type="dxa"/>
              <w:left w:w="21" w:type="dxa"/>
              <w:bottom w:w="15" w:type="dxa"/>
              <w:right w:w="21" w:type="dxa"/>
            </w:tcMar>
            <w:vAlign w:val="center"/>
          </w:tcPr>
          <w:p w14:paraId="76FBD282">
            <w:pPr>
              <w:spacing w:before="75" w:after="75"/>
              <w:ind w:left="0" w:right="0" w:firstLine="420"/>
              <w:jc w:val="left"/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</w:tbl>
    <w:p w14:paraId="4766DD0A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SimHei" w:hAnsi="SimHei" w:eastAsia="SimHei" w:cs="SimHei"/>
          <w:color w:val="333333"/>
          <w:sz w:val="32"/>
          <w:szCs w:val="32"/>
        </w:rPr>
        <w:t>五、存在的主要问题及改进情况</w:t>
      </w:r>
    </w:p>
    <w:p w14:paraId="1B06129B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KaiTi" w:hAnsi="KaiTi" w:eastAsia="KaiTi" w:cs="KaiTi"/>
          <w:b/>
          <w:bCs/>
          <w:color w:val="333333"/>
          <w:sz w:val="32"/>
          <w:szCs w:val="32"/>
        </w:rPr>
        <w:t>（一）存在问题：</w:t>
      </w:r>
    </w:p>
    <w:p w14:paraId="7BF8AFD2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FangSong" w:hAnsi="FangSong" w:eastAsia="FangSong" w:cs="FangSong"/>
          <w:color w:val="333333"/>
          <w:sz w:val="32"/>
          <w:szCs w:val="32"/>
        </w:rPr>
        <w:t>2025年，镇政府信息公开工作取得了一定的成效，但与上级的要求还有一定的差距，主要存在的问题：</w:t>
      </w:r>
    </w:p>
    <w:p w14:paraId="785377B3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FangSong" w:hAnsi="FangSong" w:eastAsia="FangSong" w:cs="FangSong"/>
          <w:color w:val="333333"/>
          <w:sz w:val="32"/>
          <w:szCs w:val="32"/>
        </w:rPr>
        <w:t>一是重视程度不够。一些部门领导对政府信息公开工作重视不够，对《条例》理解不深入，对政府信息公开工作认识不到位，因此在工作上表现为不主动、不积极，简单应付，流于形式；</w:t>
      </w:r>
    </w:p>
    <w:p w14:paraId="721F6AC5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FangSong" w:hAnsi="FangSong" w:eastAsia="FangSong" w:cs="FangSong"/>
          <w:color w:val="333333"/>
          <w:sz w:val="32"/>
          <w:szCs w:val="32"/>
        </w:rPr>
        <w:t>二是政府日常事务繁杂，人员紧缺，工作人员身兼</w:t>
      </w:r>
      <w:r>
        <w:rPr>
          <w:rStyle w:val="5"/>
          <w:rFonts w:ascii="FangSong" w:hAnsi="FangSong" w:eastAsia="FangSong" w:cs="FangSong"/>
          <w:color w:val="333333"/>
          <w:sz w:val="32"/>
          <w:szCs w:val="32"/>
        </w:rPr>
        <w:t>多职</w:t>
      </w:r>
      <w:r>
        <w:rPr>
          <w:rFonts w:ascii="FangSong" w:hAnsi="FangSong" w:eastAsia="FangSong" w:cs="FangSong"/>
          <w:color w:val="333333"/>
          <w:sz w:val="32"/>
          <w:szCs w:val="32"/>
        </w:rPr>
        <w:t>，工作中难免分身乏术、顾此失彼；</w:t>
      </w:r>
    </w:p>
    <w:p w14:paraId="7EBC907A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FangSong" w:hAnsi="FangSong" w:eastAsia="FangSong" w:cs="FangSong"/>
          <w:color w:val="333333"/>
          <w:sz w:val="32"/>
          <w:szCs w:val="32"/>
        </w:rPr>
        <w:t>三是部分信息公布不够及时、更新较慢。信息数量、质量亟待提升；</w:t>
      </w:r>
    </w:p>
    <w:p w14:paraId="1212B844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FangSong" w:hAnsi="FangSong" w:eastAsia="FangSong" w:cs="FangSong"/>
          <w:color w:val="333333"/>
          <w:sz w:val="32"/>
          <w:szCs w:val="32"/>
        </w:rPr>
        <w:t>四是政府信息公开工作的配套制度执行力度不够，监督考评等长效机制需要进一步健全。</w:t>
      </w:r>
    </w:p>
    <w:p w14:paraId="13C41980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KaiTi" w:hAnsi="KaiTi" w:eastAsia="KaiTi" w:cs="KaiTi"/>
          <w:b/>
          <w:bCs/>
          <w:color w:val="333333"/>
          <w:sz w:val="32"/>
          <w:szCs w:val="32"/>
        </w:rPr>
        <w:t>（二）改进措施：</w:t>
      </w:r>
    </w:p>
    <w:p w14:paraId="747197D1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FangSong" w:hAnsi="FangSong" w:eastAsia="FangSong" w:cs="FangSong"/>
          <w:color w:val="333333"/>
          <w:sz w:val="32"/>
          <w:szCs w:val="32"/>
        </w:rPr>
        <w:t>一是建立和完善政府信息网络公开平台，确保政府信息多渠道的公开；</w:t>
      </w:r>
    </w:p>
    <w:p w14:paraId="32E5A867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FangSong" w:hAnsi="FangSong" w:eastAsia="FangSong" w:cs="FangSong"/>
          <w:color w:val="333333"/>
          <w:sz w:val="32"/>
          <w:szCs w:val="32"/>
        </w:rPr>
        <w:t>二是加强政府信息公开信息员队伍建设，提升信息员综合素质，提高工作效率；</w:t>
      </w:r>
    </w:p>
    <w:p w14:paraId="1CAD3518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FangSong" w:hAnsi="FangSong" w:eastAsia="FangSong" w:cs="FangSong"/>
          <w:color w:val="333333"/>
          <w:sz w:val="32"/>
          <w:szCs w:val="32"/>
        </w:rPr>
        <w:t>三是改进信息公开制度，及时</w:t>
      </w:r>
      <w:r>
        <w:rPr>
          <w:rStyle w:val="5"/>
          <w:rFonts w:ascii="FangSong" w:hAnsi="FangSong" w:eastAsia="FangSong" w:cs="FangSong"/>
          <w:color w:val="333333"/>
          <w:sz w:val="32"/>
          <w:szCs w:val="32"/>
        </w:rPr>
        <w:t>有效的</w:t>
      </w:r>
      <w:r>
        <w:rPr>
          <w:rFonts w:ascii="FangSong" w:hAnsi="FangSong" w:eastAsia="FangSong" w:cs="FangSong"/>
          <w:color w:val="333333"/>
          <w:sz w:val="32"/>
          <w:szCs w:val="32"/>
        </w:rPr>
        <w:t>公开需要公布的信息；</w:t>
      </w:r>
    </w:p>
    <w:p w14:paraId="3AF10590">
      <w:pPr>
        <w:shd w:val="clear" w:color="auto" w:fill="FFFFFF"/>
        <w:spacing w:before="75" w:after="75"/>
        <w:ind w:left="0" w:right="0" w:firstLine="480"/>
        <w:jc w:val="left"/>
      </w:pPr>
      <w:r>
        <w:rPr>
          <w:rFonts w:ascii="FangSong" w:hAnsi="FangSong" w:eastAsia="FangSong" w:cs="FangSong"/>
          <w:color w:val="333333"/>
          <w:sz w:val="32"/>
          <w:szCs w:val="32"/>
        </w:rPr>
        <w:t>四是加大政府信息采集和发布力度，提高信息质量，丰富公开内容。广泛听取群众的意见和建议，重点公开人民群众普遍关心的热点、焦点问题；</w:t>
      </w:r>
    </w:p>
    <w:p w14:paraId="67077DB5">
      <w:pPr>
        <w:shd w:val="clear" w:color="auto" w:fill="FFFFFF"/>
        <w:spacing w:before="75" w:after="75"/>
        <w:ind w:left="0" w:right="0" w:firstLine="480"/>
        <w:jc w:val="left"/>
      </w:pPr>
      <w:r>
        <w:rPr>
          <w:rFonts w:hint="eastAsia" w:ascii="SimHei" w:hAnsi="SimHei" w:eastAsia="SimHei" w:cs="SimHei"/>
          <w:color w:val="333333"/>
          <w:sz w:val="32"/>
          <w:szCs w:val="32"/>
          <w:lang w:eastAsia="zh-CN"/>
        </w:rPr>
        <w:t>六</w:t>
      </w:r>
      <w:r>
        <w:rPr>
          <w:rFonts w:ascii="SimHei" w:hAnsi="SimHei" w:eastAsia="SimHei" w:cs="SimHei"/>
          <w:color w:val="333333"/>
          <w:sz w:val="32"/>
          <w:szCs w:val="32"/>
        </w:rPr>
        <w:t>、 其</w:t>
      </w:r>
      <w:bookmarkStart w:id="0" w:name="_GoBack"/>
      <w:bookmarkEnd w:id="0"/>
      <w:r>
        <w:rPr>
          <w:rFonts w:ascii="SimHei" w:hAnsi="SimHei" w:eastAsia="SimHei" w:cs="SimHei"/>
          <w:color w:val="333333"/>
          <w:sz w:val="32"/>
          <w:szCs w:val="32"/>
        </w:rPr>
        <w:t>他需要报告的事项</w:t>
      </w:r>
    </w:p>
    <w:p w14:paraId="2489CDEE">
      <w:pPr>
        <w:shd w:val="clear" w:color="auto" w:fill="FFFFFF"/>
        <w:spacing w:before="75" w:after="75"/>
        <w:ind w:left="480" w:right="0"/>
        <w:jc w:val="left"/>
      </w:pPr>
      <w:r>
        <w:rPr>
          <w:rFonts w:ascii="FangSong" w:hAnsi="FangSong" w:eastAsia="FangSong" w:cs="FangSong"/>
          <w:color w:val="333333"/>
          <w:sz w:val="32"/>
          <w:szCs w:val="32"/>
        </w:rPr>
        <w:t>本机关2025年度未收取信息公开信息处理费</w:t>
      </w:r>
    </w:p>
    <w:p w14:paraId="4BC5D054"/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Mincho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7F11A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errorword correctable dubious data-span-dubious0"/>
    <w:basedOn w:val="3"/>
    <w:uiPriority w:val="0"/>
  </w:style>
  <w:style w:type="character" w:customStyle="1" w:styleId="5">
    <w:name w:val="word"/>
    <w:basedOn w:val="3"/>
    <w:uiPriority w:val="0"/>
  </w:style>
  <w:style w:type="character" w:customStyle="1" w:styleId="6">
    <w:name w:val="errorword correctable dubious data-span-dubious1"/>
    <w:basedOn w:val="3"/>
    <w:qFormat/>
    <w:uiPriority w:val="0"/>
  </w:style>
  <w:style w:type="character" w:customStyle="1" w:styleId="7">
    <w:name w:val="data-span-error0"/>
    <w:basedOn w:val="3"/>
    <w:uiPriority w:val="0"/>
  </w:style>
  <w:style w:type="character" w:customStyle="1" w:styleId="8">
    <w:name w:val="data-span-error1"/>
    <w:basedOn w:val="3"/>
    <w:uiPriority w:val="0"/>
  </w:style>
  <w:style w:type="character" w:customStyle="1" w:styleId="9">
    <w:name w:val="errorword correctable dubious data-span-dubious2"/>
    <w:basedOn w:val="3"/>
    <w:uiPriority w:val="0"/>
  </w:style>
  <w:style w:type="character" w:customStyle="1" w:styleId="10">
    <w:name w:val="errorword correctable dubious data-span-dubious3"/>
    <w:basedOn w:val="3"/>
    <w:qFormat/>
    <w:uiPriority w:val="0"/>
  </w:style>
  <w:style w:type="character" w:customStyle="1" w:styleId="11">
    <w:name w:val="errorword correctable dubious data-span-dubious4"/>
    <w:basedOn w:val="3"/>
    <w:qFormat/>
    <w:uiPriority w:val="0"/>
  </w:style>
  <w:style w:type="character" w:customStyle="1" w:styleId="12">
    <w:name w:val="errorword correctable dubious data-span-dubious5"/>
    <w:basedOn w:val="3"/>
    <w:qFormat/>
    <w:uiPriority w:val="0"/>
  </w:style>
  <w:style w:type="character" w:customStyle="1" w:styleId="13">
    <w:name w:val="errorword sensitive grxx data-span-grxx0 ignoreword"/>
    <w:basedOn w:val="3"/>
    <w:qFormat/>
    <w:uiPriority w:val="0"/>
  </w:style>
  <w:style w:type="character" w:customStyle="1" w:styleId="14">
    <w:name w:val="data-span-seriousError0"/>
    <w:basedOn w:val="3"/>
    <w:qFormat/>
    <w:uiPriority w:val="0"/>
  </w:style>
  <w:style w:type="character" w:customStyle="1" w:styleId="15">
    <w:name w:val="data-span-error2"/>
    <w:basedOn w:val="3"/>
    <w:uiPriority w:val="0"/>
  </w:style>
  <w:style w:type="character" w:customStyle="1" w:styleId="16">
    <w:name w:val="data-span-error3"/>
    <w:basedOn w:val="3"/>
    <w:uiPriority w:val="0"/>
  </w:style>
  <w:style w:type="character" w:customStyle="1" w:styleId="17">
    <w:name w:val="errorword correctable dubious data-span-dubious6"/>
    <w:basedOn w:val="3"/>
    <w:qFormat/>
    <w:uiPriority w:val="0"/>
  </w:style>
  <w:style w:type="character" w:customStyle="1" w:styleId="18">
    <w:name w:val="data-span-error4"/>
    <w:basedOn w:val="3"/>
    <w:uiPriority w:val="0"/>
  </w:style>
  <w:style w:type="character" w:customStyle="1" w:styleId="19">
    <w:name w:val="data-span-error5"/>
    <w:basedOn w:val="3"/>
    <w:uiPriority w:val="0"/>
  </w:style>
  <w:style w:type="character" w:customStyle="1" w:styleId="20">
    <w:name w:val="errorword correctable error data-span-error6 ignoreword"/>
    <w:basedOn w:val="3"/>
    <w:qFormat/>
    <w:uiPriority w:val="0"/>
  </w:style>
  <w:style w:type="character" w:customStyle="1" w:styleId="21">
    <w:name w:val="data-span-error7"/>
    <w:basedOn w:val="3"/>
    <w:uiPriority w:val="0"/>
  </w:style>
  <w:style w:type="character" w:customStyle="1" w:styleId="22">
    <w:name w:val="data-span-error8"/>
    <w:basedOn w:val="3"/>
    <w:uiPriority w:val="0"/>
  </w:style>
  <w:style w:type="paragraph" w:customStyle="1" w:styleId="23">
    <w:name w:val="NormalWeb"/>
    <w:basedOn w:val="1"/>
    <w:qFormat/>
    <w:uiPriority w:val="0"/>
  </w:style>
  <w:style w:type="table" w:customStyle="1" w:styleId="24">
    <w:name w:val="TableNormal"/>
    <w:basedOn w:val="2"/>
    <w:uiPriority w:val="0"/>
  </w:style>
  <w:style w:type="character" w:customStyle="1" w:styleId="25">
    <w:name w:val="errorword sensitive mgc data-span-mgc0"/>
    <w:basedOn w:val="3"/>
    <w:uiPriority w:val="0"/>
  </w:style>
  <w:style w:type="character" w:customStyle="1" w:styleId="26">
    <w:name w:val="right"/>
    <w:basedOn w:val="3"/>
    <w:qFormat/>
    <w:uiPriority w:val="0"/>
  </w:style>
  <w:style w:type="character" w:customStyle="1" w:styleId="27">
    <w:name w:val="data-span-error9"/>
    <w:basedOn w:val="3"/>
    <w:qFormat/>
    <w:uiPriority w:val="0"/>
  </w:style>
  <w:style w:type="character" w:customStyle="1" w:styleId="28">
    <w:name w:val="data-span-error10"/>
    <w:basedOn w:val="3"/>
    <w:qFormat/>
    <w:uiPriority w:val="0"/>
  </w:style>
  <w:style w:type="character" w:customStyle="1" w:styleId="29">
    <w:name w:val="errorword correctable dubious data-span-dubious7"/>
    <w:basedOn w:val="3"/>
    <w:uiPriority w:val="0"/>
  </w:style>
  <w:style w:type="character" w:customStyle="1" w:styleId="30">
    <w:name w:val="errorword correctable error data-span-error11 ignoreword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8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2026-01-08T12:54:25Z</dcterms:created>
  <dc:creator>HUAWEI</dc:creator>
  <cp:lastModifiedBy></cp:lastModifiedBy>
  <dcterms:modified xsi:type="dcterms:W3CDTF">2026-01-08T12:54:49Z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8232ABFCB87549FA99385F6991ED09C5_42</vt:lpwstr>
  </property>
</Properties>
</file>