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泽州县社会保险费征缴争议联合处置机制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（征求意见稿）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党的二十大精神，深化新时代"枫桥经验"在处理社会保险费征缴争议领域的实践应用，着力提高社会保险费征缴争议处理工作的规范化、专业化、协同化水平，切实维护缴费人合法权益，按照《中华人民共和国社会保险法》《社会保险费征缴暂行条例》等法律法规，结合我县实际，特建立泽州县社会保险费征缴争议联合处置机制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进一步深化运用新时代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枫桥经验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高效解决社会保险费征缴争议，畅通缴费人诉求表达和维权渠道，提升缴费人权益诉求便利度，源头化解征缴争议，有效防范化解区域性、系统性征缴风险，维护区域社会和谐稳定，依托实体化运作调解中心，通过健全泽州县社会保险费征缴争议联合处置机制，努力实现征缴争议处理过程及结果让地方党委政府满意、用人单位满意、相关个人满意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二、联合处置机制成员单位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泽州县社会保险费征缴争议联合处置机制顺畅运行，在县政府统一领导下，由县税务局牵头，联合法院、财政、人社、医保、信访、司法等7个部门成立社会保险费征缴争议处置工作领导小组（以下简称领导小组），县政府常务副县长任组长，县政府办、县税务局相关负责同志任副组长，相关成员单位负责同志任成员（成员名单附后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领导小组下设办公室，办公室设在县税务局，承接日常工作。领导小组统筹社会保险费征缴争议焦点、堵点、难点问题。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三、联合处置机制工作内容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（一）职责分工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县政府办公室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对报送的社会保险费征缴争议事项，按照12345政府服务便民热线运行机制，依据部门职责，及时转交承办单位处理；推动征缴争议联合处置纳入地方政务服务管理平台系统；承办领导小组交办的其他工作。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县税务局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负责统一社会保险征收模式改革后的缴费基数申报、缴费金额、滞纳金加收、退费初核、欠费追缴、违法处罚等争议事项；会同有关部门协调处理社会保险费征缴争议；承办领导小组交办的其他工作。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县人力资源和社会保障局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负责养老保险、失业保险、工伤保险关系转移、参保登记信息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权益记录、待遇享受、退费复核等争议事项；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会同有关部门协调处理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统一社会保险征收模式改革前的缴费基数申报、缴费金额、滞纳金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测算</w:t>
      </w:r>
      <w:r>
        <w:rPr>
          <w:rFonts w:hint="eastAsia" w:ascii="仿宋_GB2312" w:hAnsi="仿宋_GB2312" w:eastAsia="仿宋_GB2312" w:cs="仿宋_GB2312"/>
          <w:sz w:val="32"/>
          <w:szCs w:val="32"/>
        </w:rPr>
        <w:t>、退费审核、违法处罚等争议事项；承办领导小组交办的其他工作。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县医疗保障局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负责医疗保险关系转移、参保登记信息、核定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特殊</w:t>
      </w:r>
      <w:r>
        <w:rPr>
          <w:rFonts w:hint="eastAsia" w:ascii="仿宋_GB2312" w:hAnsi="仿宋_GB2312" w:eastAsia="仿宋_GB2312" w:cs="仿宋_GB2312"/>
          <w:sz w:val="32"/>
          <w:szCs w:val="32"/>
        </w:rPr>
        <w:t>缴费信息、权益记录、待遇享受、退费复核等争议事项；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会同有关部门协调处理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统一社会保险征收模式改革前的缴费基数申报、缴费金额、滞纳金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测算</w:t>
      </w:r>
      <w:r>
        <w:rPr>
          <w:rFonts w:hint="eastAsia" w:ascii="仿宋_GB2312" w:hAnsi="仿宋_GB2312" w:eastAsia="仿宋_GB2312" w:cs="仿宋_GB2312"/>
          <w:sz w:val="32"/>
          <w:szCs w:val="32"/>
        </w:rPr>
        <w:t>、退费审核、违法处罚等争议事项；承办领导小组交办的其他工作。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县司法局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对征缴争议处理过程中适用相关法律法规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；承办领导小组交办的其他工作。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县人民法院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对劳动者与用人单位之间发生的纠纷，属于法院受理的劳动争议案件予以受理；对上诉需求的缴费人提供业务指导；承办领导小组交办的其他工作。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县财政局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协助办理社会保险费退费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争议处理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事项；承办领导小组交办的其他工作。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县信访局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协助处理人社、医保、税务职能范围内的社会保险费征缴争议工作；将社会保险费征缴争议事项问题线索移交相关职能部门处理；承办领导小组交办的其他工作。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（二）争议事项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用人单位或个人因社会保险登记和关系转移产生争议的；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用人单位或个人因社会保险登记信息传递产生争议的；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用人单位或个人因社会保险费缴费基数申报产生争议的；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用人单位或个人因社会保险费缴费金额产生争议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用人单位或个人对人社、医保部门核定的特殊缴费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有异议的；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用人单位或个人对社会保险费滞纳金加收问题有争议的；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用人单位或个人对社会保险费退（抵）费模式、流程、金额有争议的；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用人单位或个人对社会保险待遇核定和支付有争议的；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用人单位或个人对社会保险费征缴检查、欠费追缴等事项有争议的；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社会保险费征缴过程中发生的其他争议事项。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四、联合处置机制运行流程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（一）受理登记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领导小组各成员单位均为受理单位。受理社会保险费争议事项，受理人员应当第一时间填写《社会保险费征缴争议登记表》,详细记录缴费人基本情况、来访时间、联系方式、反映的主要内容等重要信息。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（二）分类处置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单位根据争议事项实行分类处置，对于属于职责范围内的争议事项及时办理并反馈缴费人；对属于其他职能部门的争议事项，及时移送至相应职能部门，并告知缴费人应联系人员及联系方式；对属于需要两个及两个以上职能部门联合办理的争议事项，按以下流程处置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一般争议流程设定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(1）缴费人向受理部门提出诉求；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(2）受理部门根据事情的实际情况，牵头召集组织相关职能部门采取联办形式办理受理事项；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(3）各联办单位依职权办理，在规定时限内向受理单位提供书面意见。受理部门负责综合各联办单位的意见，将总处理意见以书面形式告知缴费人。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复杂争议流程设定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(1）缴费人向受理部门提出诉求；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(2）受理部门根据事情的实际情况及需要，上报争议领导小组办公室，经领导小组组长同意后，会同政府办、财政局、司法局、人社局、医保局、信访局、税务局、法院等部门进行专案处理；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(3）各部门依职权办理，在规定时限内提供书面审批意见，经小组会商后形成会议纪要，由受理部门将处理意见以书面形式告知缴费人。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（三）回复反馈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对争议处理情况，受理部门要在规定的期限内，向发生争议双方进行反馈；缴费人对处理结果无异议，受理部门做好案卷归档；对处理结果有异议的，可按规定程序申请司法调解、行政复议、仲裁、行政诉讼。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（四）案卷归档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受理部门应当按照相关规定，及时将征缴争议处理有关文书或音视频资料进行案卷归档。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（一）提高思想认识。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险与人民群众切身利益直接相关，社会关注度高、影响面广，有效防范化解社会保险费征缴争议，是践行以人民为中心发展思想的重要体现，是维护缴费人合法权益和社会稳定的内在要求。各部门要高度重视，充分认识到联合处置机制在解决社会保险费征缴争议的重要作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（二）加强信息共享。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有效的信息沟通与共享机制，确保各成员单位专兼职协调人员能够及时获取相关信息，联合健全社会保险费征缴争议处理的受理、联调、司法确认、调裁对接等纠纷化解闭环链条，畅通调裁对接“绿色通道”，力争将矛盾纠纷快速化解在最前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（三）夯实处置基础。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要结合社会保险费争议处理工作实际，逐步建立要素齐全、数据准确、动态更新的社会保险费处理综合平台，提高集中处理工作的智能化、信息化水平。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（四）强化监督考核。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建立监督与考核机制，对争议协调工作的进展和效果进行定期评估和监督，推动社会保险费争议协调机制持续完善，进一步提高争议处理效率。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附件：泽州县社会保险费征缴争议处置工作领导小组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泽州县社会保险费征缴争议处置工作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 导 小 组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长：许云发   县委常委、县政府常务副县长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副组长：郭小伟   县政府办公室主任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董庆涛   县税务局局长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员：吴玲义   县法院副院长（主持全面工作）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刘廷兵   县财政局局长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庞晋强   县司法局局长</w:t>
      </w:r>
      <w:bookmarkStart w:id="0" w:name="_GoBack"/>
      <w:bookmarkEnd w:id="0"/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郎云峰   县人社局局长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郭媛媛   县医保局局长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李瑞瑞   县信访局局长</w:t>
      </w:r>
    </w:p>
    <w:p>
      <w:pPr>
        <w:rPr>
          <w:rFonts w:hint="default" w:ascii="仿宋" w:hAnsi="仿宋" w:eastAsia="仿宋"/>
          <w:b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/>
          <w:b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/>
          <w:b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NjMyY2ViMjZkNzFkMTJhNTVlNjEyZGZiZGNiNjcifQ=="/>
  </w:docVars>
  <w:rsids>
    <w:rsidRoot w:val="00000000"/>
    <w:rsid w:val="42EE38AD"/>
    <w:rsid w:val="6065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2769</Words>
  <Characters>2800</Characters>
  <Lines>0</Lines>
  <Paragraphs>0</Paragraphs>
  <TotalTime>0</TotalTime>
  <ScaleCrop>false</ScaleCrop>
  <LinksUpToDate>false</LinksUpToDate>
  <CharactersWithSpaces>2850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2024-08-05T06:59:00Z</dcterms:created>
  <dc:creator>admin</dc:creator>
  <cp:lastModifiedBy>zzgs</cp:lastModifiedBy>
  <dcterms:modified xsi:type="dcterms:W3CDTF">2024-08-05T08:57:29Z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4AE5010CD2B14731B9CE5A0E09B113FA_12</vt:lpwstr>
  </property>
</Properties>
</file>